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2.xml" ContentType="application/xml"/>
  <Override PartName="/customXml/itemProps1.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itemProps2.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right"/>
        <w:rPr>
          <w:rFonts w:ascii="Times New Roman" w:hAnsi="Times New Roman"/>
          <w:b/>
          <w:b/>
        </w:rPr>
      </w:pPr>
      <w:bookmarkStart w:id="0" w:name="_GoBack"/>
      <w:bookmarkEnd w:id="0"/>
      <w:r>
        <w:rPr>
          <w:rFonts w:ascii="Times New Roman" w:hAnsi="Times New Roman"/>
          <w:b/>
        </w:rPr>
        <w:t>Posl. br. 31 P-3124/14.-28</w:t>
      </w:r>
    </w:p>
    <w:p>
      <w:pPr>
        <w:pStyle w:val="Normal"/>
        <w:rPr>
          <w:rFonts w:ascii="Times New Roman" w:hAnsi="Times New Roman"/>
        </w:rPr>
      </w:pPr>
      <w:r>
        <w:rPr>
          <w:rFonts w:ascii="Times New Roman" w:hAnsi="Times New Roman"/>
        </w:rPr>
      </w:r>
    </w:p>
    <w:p>
      <w:pPr>
        <w:pStyle w:val="Normal"/>
        <w:rPr>
          <w:rFonts w:ascii="Times New Roman" w:hAnsi="Times New Roman"/>
        </w:rPr>
      </w:pPr>
      <w:r>
        <w:rPr>
          <w:rFonts w:ascii="Times New Roman" w:hAnsi="Times New Roman"/>
        </w:rPr>
      </w:r>
    </w:p>
    <w:p>
      <w:pPr>
        <w:pStyle w:val="Normal"/>
        <w:rPr>
          <w:rFonts w:ascii="Times New Roman" w:hAnsi="Times New Roman"/>
        </w:rPr>
      </w:pPr>
      <w:r>
        <w:rPr>
          <w:rFonts w:ascii="Times New Roman" w:hAnsi="Times New Roman"/>
        </w:rPr>
      </w:r>
    </w:p>
    <w:p>
      <w:pPr>
        <w:pStyle w:val="Normal"/>
        <w:rPr>
          <w:rFonts w:ascii="Times New Roman" w:hAnsi="Times New Roman"/>
        </w:rPr>
      </w:pPr>
      <w:r>
        <w:rPr>
          <w:rFonts w:ascii="Times New Roman" w:hAnsi="Times New Roman"/>
        </w:rPr>
      </w:r>
    </w:p>
    <w:p>
      <w:pPr>
        <w:pStyle w:val="Normal"/>
        <w:rPr>
          <w:rFonts w:ascii="Times New Roman" w:hAnsi="Times New Roman"/>
        </w:rPr>
      </w:pPr>
      <w:r>
        <w:rPr>
          <w:rFonts w:ascii="Times New Roman" w:hAnsi="Times New Roman"/>
        </w:rPr>
      </w:r>
    </w:p>
    <w:p>
      <w:pPr>
        <w:pStyle w:val="Normal"/>
        <w:rPr>
          <w:rFonts w:ascii="Times New Roman" w:hAnsi="Times New Roman"/>
        </w:rPr>
      </w:pPr>
      <w:r>
        <w:rPr>
          <w:rFonts w:ascii="Times New Roman" w:hAnsi="Times New Roman"/>
        </w:rPr>
      </w:r>
    </w:p>
    <w:p>
      <w:pPr>
        <w:pStyle w:val="Normal"/>
        <w:jc w:val="center"/>
        <w:rPr>
          <w:rFonts w:ascii="Times New Roman" w:hAnsi="Times New Roman"/>
          <w:b/>
          <w:b/>
        </w:rPr>
      </w:pPr>
      <w:r>
        <w:rPr>
          <w:rFonts w:ascii="Times New Roman" w:hAnsi="Times New Roman"/>
          <w:b/>
        </w:rPr>
      </w:r>
    </w:p>
    <w:p>
      <w:pPr>
        <w:pStyle w:val="Normal"/>
        <w:jc w:val="center"/>
        <w:rPr>
          <w:rFonts w:ascii="Times New Roman" w:hAnsi="Times New Roman"/>
          <w:b/>
          <w:b/>
          <w:sz w:val="28"/>
          <w:szCs w:val="28"/>
        </w:rPr>
      </w:pPr>
      <w:r>
        <w:rPr>
          <w:rFonts w:ascii="Times New Roman" w:hAnsi="Times New Roman"/>
          <w:b/>
          <w:sz w:val="28"/>
          <w:szCs w:val="28"/>
        </w:rPr>
        <w:t>U  I M E   R E P U B L I K E  H R V A T S K E</w:t>
      </w:r>
    </w:p>
    <w:p>
      <w:pPr>
        <w:pStyle w:val="Normal"/>
        <w:jc w:val="center"/>
        <w:rPr>
          <w:rFonts w:ascii="Times New Roman" w:hAnsi="Times New Roman"/>
          <w:b/>
          <w:b/>
          <w:sz w:val="28"/>
          <w:szCs w:val="28"/>
        </w:rPr>
      </w:pPr>
      <w:r>
        <w:rPr>
          <w:rFonts w:ascii="Times New Roman" w:hAnsi="Times New Roman"/>
          <w:b/>
          <w:sz w:val="28"/>
          <w:szCs w:val="28"/>
        </w:rPr>
      </w:r>
    </w:p>
    <w:p>
      <w:pPr>
        <w:pStyle w:val="Normal"/>
        <w:jc w:val="center"/>
        <w:rPr>
          <w:rFonts w:ascii="Times New Roman" w:hAnsi="Times New Roman"/>
          <w:b/>
          <w:b/>
          <w:sz w:val="28"/>
          <w:szCs w:val="28"/>
        </w:rPr>
      </w:pPr>
      <w:r>
        <w:rPr>
          <w:rFonts w:ascii="Times New Roman" w:hAnsi="Times New Roman"/>
          <w:b/>
          <w:sz w:val="28"/>
          <w:szCs w:val="28"/>
        </w:rPr>
        <w:t>P R E S U D A</w:t>
      </w:r>
    </w:p>
    <w:p>
      <w:pPr>
        <w:pStyle w:val="Normal"/>
        <w:rPr>
          <w:rFonts w:ascii="Times New Roman" w:hAnsi="Times New Roman"/>
          <w:sz w:val="28"/>
          <w:szCs w:val="28"/>
        </w:rPr>
      </w:pPr>
      <w:r>
        <w:rPr>
          <w:rFonts w:ascii="Times New Roman" w:hAnsi="Times New Roman"/>
          <w:sz w:val="28"/>
          <w:szCs w:val="28"/>
        </w:rPr>
      </w:r>
    </w:p>
    <w:p>
      <w:pPr>
        <w:pStyle w:val="Normal"/>
        <w:rPr>
          <w:rFonts w:ascii="Times New Roman" w:hAnsi="Times New Roman"/>
          <w:sz w:val="28"/>
          <w:szCs w:val="28"/>
        </w:rPr>
      </w:pPr>
      <w:r>
        <w:rPr>
          <w:rFonts w:ascii="Times New Roman" w:hAnsi="Times New Roman"/>
          <w:sz w:val="28"/>
          <w:szCs w:val="28"/>
        </w:rPr>
      </w:r>
    </w:p>
    <w:p>
      <w:pPr>
        <w:pStyle w:val="TextBody"/>
        <w:rPr>
          <w:rFonts w:ascii="Times New Roman" w:hAnsi="Times New Roman"/>
        </w:rPr>
      </w:pPr>
      <w:r>
        <w:rPr>
          <w:rFonts w:ascii="Times New Roman" w:hAnsi="Times New Roman"/>
        </w:rPr>
        <w:tab/>
        <w:t xml:space="preserve">Općinski sud u Rijeci, po sucu toga suda Majdi Felker, kao sucu pojedincu, u pravnoj stvari tužitelja </w:t>
      </w:r>
      <w:r>
        <w:rPr>
          <w:rFonts w:ascii="Times New Roman" w:hAnsi="Times New Roman"/>
          <w:b/>
        </w:rPr>
        <w:t xml:space="preserve">Ibrahim Murić </w:t>
      </w:r>
      <w:r>
        <w:rPr>
          <w:rFonts w:ascii="Times New Roman" w:hAnsi="Times New Roman"/>
        </w:rPr>
        <w:t xml:space="preserve">iz Rijeke, Franje Čandeka 36, OIB: 28052164704, zastupan po punomoćniku Sonji Bonifačić iz Rijeke, protiv tuženika </w:t>
      </w:r>
      <w:r>
        <w:rPr>
          <w:rFonts w:ascii="Times New Roman" w:hAnsi="Times New Roman"/>
          <w:b/>
        </w:rPr>
        <w:t xml:space="preserve">ULJANIK Strojogradnja Diesel d.d. </w:t>
      </w:r>
      <w:r>
        <w:rPr>
          <w:rFonts w:ascii="Times New Roman" w:hAnsi="Times New Roman"/>
        </w:rPr>
        <w:t xml:space="preserve">iz Pule, Flaciusova 1, OIB: 35951488983, </w:t>
      </w:r>
      <w:r>
        <w:rPr>
          <w:rFonts w:ascii="Times New Roman" w:hAnsi="Times New Roman"/>
          <w:b/>
        </w:rPr>
        <w:t xml:space="preserve"> </w:t>
      </w:r>
      <w:r>
        <w:rPr>
          <w:rFonts w:ascii="Times New Roman" w:hAnsi="Times New Roman"/>
        </w:rPr>
        <w:t xml:space="preserve">(prije 3 MAJ MiD iz Rijeke, Liburnijska 3, OIB: 29217701185), radi </w:t>
      </w:r>
      <w:r>
        <w:rPr>
          <w:rFonts w:ascii="Times New Roman" w:hAnsi="Times New Roman"/>
          <w:b/>
        </w:rPr>
        <w:t>poništenja sporazuma</w:t>
      </w:r>
      <w:r>
        <w:rPr>
          <w:rFonts w:ascii="Times New Roman" w:hAnsi="Times New Roman"/>
        </w:rPr>
        <w:t xml:space="preserve">, nakon glavne i javne rasprave zaključene dana 10. veljače 2017.g., a objavljene dana 27. ožujka 2017. godine, </w:t>
      </w:r>
    </w:p>
    <w:p>
      <w:pPr>
        <w:pStyle w:val="TextBody"/>
        <w:rPr>
          <w:rFonts w:ascii="Times New Roman" w:hAnsi="Times New Roman"/>
        </w:rPr>
      </w:pPr>
      <w:r>
        <w:rPr>
          <w:rFonts w:ascii="Times New Roman" w:hAnsi="Times New Roman"/>
        </w:rPr>
      </w:r>
    </w:p>
    <w:p>
      <w:pPr>
        <w:pStyle w:val="Normal"/>
        <w:jc w:val="center"/>
        <w:rPr>
          <w:rFonts w:ascii="Times New Roman" w:hAnsi="Times New Roman"/>
          <w:b/>
          <w:b/>
        </w:rPr>
      </w:pPr>
      <w:r>
        <w:rPr>
          <w:rFonts w:ascii="Times New Roman" w:hAnsi="Times New Roman"/>
          <w:b/>
        </w:rPr>
        <w:t>p r e s u d i o    j e</w:t>
      </w:r>
    </w:p>
    <w:p>
      <w:pPr>
        <w:pStyle w:val="Normal"/>
        <w:jc w:val="both"/>
        <w:rPr>
          <w:rFonts w:ascii="Times New Roman" w:hAnsi="Times New Roman"/>
        </w:rPr>
      </w:pPr>
      <w:r>
        <w:rPr>
          <w:rFonts w:ascii="Times New Roman" w:hAnsi="Times New Roman"/>
        </w:rPr>
      </w:r>
    </w:p>
    <w:p>
      <w:pPr>
        <w:pStyle w:val="Normal"/>
        <w:jc w:val="both"/>
        <w:rPr>
          <w:rFonts w:ascii="Times New Roman" w:hAnsi="Times New Roman"/>
        </w:rPr>
      </w:pPr>
      <w:r>
        <w:rPr>
          <w:rFonts w:ascii="Times New Roman" w:hAnsi="Times New Roman"/>
        </w:rPr>
      </w:r>
    </w:p>
    <w:p>
      <w:pPr>
        <w:pStyle w:val="Normal"/>
        <w:jc w:val="both"/>
        <w:rPr>
          <w:rFonts w:ascii="Times New Roman" w:hAnsi="Times New Roman"/>
        </w:rPr>
      </w:pPr>
      <w:r>
        <w:rPr>
          <w:rFonts w:ascii="Times New Roman" w:hAnsi="Times New Roman"/>
        </w:rPr>
        <w:tab/>
      </w:r>
      <w:r>
        <w:rPr>
          <w:rFonts w:ascii="Times New Roman" w:hAnsi="Times New Roman"/>
          <w:b/>
        </w:rPr>
        <w:t xml:space="preserve">I </w:t>
      </w:r>
      <w:r>
        <w:rPr>
          <w:rFonts w:ascii="Times New Roman" w:hAnsi="Times New Roman"/>
        </w:rPr>
        <w:t>Odbija se tužbeni zahtjevi tužitelja koji glase:</w:t>
      </w:r>
    </w:p>
    <w:p>
      <w:pPr>
        <w:pStyle w:val="Normal"/>
        <w:jc w:val="both"/>
        <w:rPr>
          <w:rFonts w:ascii="Times New Roman" w:hAnsi="Times New Roman"/>
        </w:rPr>
      </w:pPr>
      <w:r>
        <w:rPr>
          <w:rFonts w:ascii="Times New Roman" w:hAnsi="Times New Roman"/>
        </w:rPr>
        <w:tab/>
      </w:r>
    </w:p>
    <w:p>
      <w:pPr>
        <w:pStyle w:val="Normal"/>
        <w:ind w:firstLine="708"/>
        <w:jc w:val="both"/>
        <w:rPr>
          <w:rFonts w:ascii="Times New Roman" w:hAnsi="Times New Roman"/>
        </w:rPr>
      </w:pPr>
      <w:r>
        <w:rPr>
          <w:rFonts w:ascii="Times New Roman" w:hAnsi="Times New Roman"/>
        </w:rPr>
        <w:t>„</w:t>
      </w:r>
      <w:r>
        <w:rPr>
          <w:rFonts w:ascii="Times New Roman" w:hAnsi="Times New Roman"/>
        </w:rPr>
        <w:t>1. Utvrđuje se da je Sporazum zaključen 31.10.2013. godine između tužitelja Murić Ibrahima i tuženika 3.maj MID d.d. ništetan.</w:t>
      </w:r>
    </w:p>
    <w:p>
      <w:pPr>
        <w:pStyle w:val="ListParagraph"/>
        <w:ind w:left="708" w:hanging="0"/>
        <w:jc w:val="both"/>
        <w:rPr>
          <w:rFonts w:ascii="Times New Roman" w:hAnsi="Times New Roman"/>
        </w:rPr>
      </w:pPr>
      <w:r>
        <w:rPr>
          <w:rFonts w:ascii="Times New Roman" w:hAnsi="Times New Roman"/>
        </w:rPr>
        <w:t xml:space="preserve">alternativno </w:t>
      </w:r>
    </w:p>
    <w:p>
      <w:pPr>
        <w:pStyle w:val="Normal"/>
        <w:ind w:firstLine="708"/>
        <w:jc w:val="both"/>
        <w:rPr>
          <w:rFonts w:ascii="Times New Roman" w:hAnsi="Times New Roman"/>
        </w:rPr>
      </w:pPr>
      <w:r>
        <w:rPr>
          <w:rFonts w:ascii="Times New Roman" w:hAnsi="Times New Roman"/>
        </w:rPr>
        <w:t>Poništava se Sporazum zaključen 31.10.2013. godine između tužitelja Murić Ibrahima i tuženika 3.Maj MID te isti ne proizvodi pravne učinke.</w:t>
      </w:r>
    </w:p>
    <w:p>
      <w:pPr>
        <w:pStyle w:val="Normal"/>
        <w:ind w:firstLine="708"/>
        <w:jc w:val="both"/>
        <w:rPr>
          <w:rFonts w:ascii="Times New Roman" w:hAnsi="Times New Roman"/>
        </w:rPr>
      </w:pPr>
      <w:r>
        <w:rPr>
          <w:rFonts w:ascii="Times New Roman" w:hAnsi="Times New Roman"/>
        </w:rPr>
        <w:t>2. Nalaže se tuženiku da tužitelju na ime otpremnine isplati i daljnji iznos od 136.200,00 kuna sa zakonskom zateznom kamatom od 1. studenog 2013. godine po stopi od 12% godišnje, odnosno po stopi koja se određuje uvećanjem eskontne stope HNB-a koja je vrijedila zadnjeg dana polugodišta koje je prethodilo tekućem polugodištu, za pet postotnih poena, sve u roku od 8 dana.</w:t>
      </w:r>
    </w:p>
    <w:p>
      <w:pPr>
        <w:pStyle w:val="Normal"/>
        <w:ind w:firstLine="708"/>
        <w:jc w:val="both"/>
        <w:rPr>
          <w:rFonts w:ascii="Times New Roman" w:hAnsi="Times New Roman"/>
        </w:rPr>
      </w:pPr>
      <w:r>
        <w:rPr>
          <w:rFonts w:ascii="Times New Roman" w:hAnsi="Times New Roman"/>
        </w:rPr>
        <w:t xml:space="preserve">3. Nalaže se tuženiku da tužitelju naknadi prouzročeni parnični trošak, u iznosu po odluci suda, sa zakonskom zateznom kamatom na navedeni iznos tekućom od dana donošenja presude do isplate po stopi koja se određuje za svako polugodište, uvećanjem eskontne stope HNB-a koja je vrijedila zadnjeg dana polugodišta koje je prethodilo tekućem polugodištu za pet postotnih poena, u roku od 15 dana.", </w:t>
      </w:r>
    </w:p>
    <w:p>
      <w:pPr>
        <w:pStyle w:val="Normal"/>
        <w:jc w:val="both"/>
        <w:rPr>
          <w:rFonts w:ascii="Times New Roman" w:hAnsi="Times New Roman"/>
        </w:rPr>
      </w:pPr>
      <w:r>
        <w:rPr>
          <w:rFonts w:ascii="Times New Roman" w:hAnsi="Times New Roman"/>
        </w:rPr>
      </w:r>
    </w:p>
    <w:p>
      <w:pPr>
        <w:pStyle w:val="Normal"/>
        <w:jc w:val="both"/>
        <w:rPr>
          <w:rFonts w:ascii="Times New Roman" w:hAnsi="Times New Roman"/>
        </w:rPr>
      </w:pPr>
      <w:r>
        <w:rPr>
          <w:rFonts w:ascii="Times New Roman" w:hAnsi="Times New Roman"/>
        </w:rPr>
        <w:tab/>
      </w:r>
      <w:r>
        <w:rPr>
          <w:rFonts w:ascii="Times New Roman" w:hAnsi="Times New Roman"/>
          <w:b/>
        </w:rPr>
        <w:t>II</w:t>
      </w:r>
      <w:r>
        <w:rPr>
          <w:rFonts w:ascii="Times New Roman" w:hAnsi="Times New Roman"/>
        </w:rPr>
        <w:t xml:space="preserve">  Nalaže se tužitelju nadoknadi tuženiku prouzročeni parnični trošak u iznosu od 27.812,50  kuna, sve u roku od 8 dana.</w:t>
      </w:r>
    </w:p>
    <w:p>
      <w:pPr>
        <w:pStyle w:val="Normal"/>
        <w:jc w:val="both"/>
        <w:rPr>
          <w:rFonts w:ascii="Times New Roman" w:hAnsi="Times New Roman"/>
        </w:rPr>
      </w:pPr>
      <w:r>
        <w:rPr>
          <w:rFonts w:ascii="Times New Roman" w:hAnsi="Times New Roman"/>
        </w:rPr>
      </w:r>
    </w:p>
    <w:p>
      <w:pPr>
        <w:pStyle w:val="Normal"/>
        <w:ind w:firstLine="708"/>
        <w:jc w:val="both"/>
        <w:rPr>
          <w:rFonts w:ascii="Times New Roman" w:hAnsi="Times New Roman"/>
        </w:rPr>
      </w:pPr>
      <w:r>
        <w:rPr>
          <w:rFonts w:ascii="Times New Roman" w:hAnsi="Times New Roman"/>
        </w:rPr>
      </w:r>
    </w:p>
    <w:p>
      <w:pPr>
        <w:pStyle w:val="Normal"/>
        <w:ind w:firstLine="708"/>
        <w:jc w:val="both"/>
        <w:rPr>
          <w:rFonts w:ascii="Times New Roman" w:hAnsi="Times New Roman"/>
        </w:rPr>
      </w:pPr>
      <w:r>
        <w:rPr>
          <w:rFonts w:ascii="Times New Roman" w:hAnsi="Times New Roman"/>
          <w:b/>
        </w:rPr>
        <w:t>III</w:t>
      </w:r>
      <w:r>
        <w:rPr>
          <w:rFonts w:ascii="Times New Roman" w:hAnsi="Times New Roman"/>
        </w:rPr>
        <w:t xml:space="preserve"> Nalaže se tuženiku da isplati tužitelju iznos od 1.772,04, sa zak.zat.kamatom od dana 28.kolovoza 2014  godine do isplate po stopi sukladno odredbi čl. 29. st. 2 ZOO tj. u visini eskontne stope HNB koja je vrijedila zadnjeg dana polugodišta koje je prethodilo tekućem polugodištu uvećano za pet postotnih poena.</w:t>
      </w:r>
    </w:p>
    <w:p>
      <w:pPr>
        <w:pStyle w:val="Normal"/>
        <w:ind w:firstLine="708"/>
        <w:jc w:val="both"/>
        <w:rPr>
          <w:rFonts w:ascii="Times New Roman" w:hAnsi="Times New Roman"/>
        </w:rPr>
      </w:pPr>
      <w:r>
        <w:rPr>
          <w:rFonts w:ascii="Times New Roman" w:hAnsi="Times New Roman"/>
          <w:b/>
        </w:rPr>
        <w:t>IV</w:t>
      </w:r>
      <w:r>
        <w:rPr>
          <w:rFonts w:ascii="Times New Roman" w:hAnsi="Times New Roman"/>
        </w:rPr>
        <w:t xml:space="preserve"> Nalaže se tuženiku da isplati tužitelju parnični trošak u iznosu  od 312,50 kuna, sa zak.zat.kamatama od 27.03.2017 godine do isplate po stopi sukladno odredbi čl. 29. st. 2 ZOO tj.u visini eskontne stope HNB koja je vrijedila zadnjeg dana polugodišta koje je prethodilo tekućem polugodištu uvećano za pet postotnih poena. </w:t>
      </w:r>
    </w:p>
    <w:p>
      <w:pPr>
        <w:pStyle w:val="Normal"/>
        <w:jc w:val="both"/>
        <w:rPr>
          <w:rFonts w:ascii="Times New Roman" w:hAnsi="Times New Roman"/>
        </w:rPr>
      </w:pPr>
      <w:r>
        <w:rPr>
          <w:rFonts w:ascii="Times New Roman" w:hAnsi="Times New Roman"/>
        </w:rPr>
      </w:r>
    </w:p>
    <w:p>
      <w:pPr>
        <w:pStyle w:val="Normal"/>
        <w:jc w:val="center"/>
        <w:rPr>
          <w:rFonts w:ascii="Times New Roman" w:hAnsi="Times New Roman"/>
          <w:b/>
          <w:b/>
        </w:rPr>
      </w:pPr>
      <w:r>
        <w:rPr>
          <w:rFonts w:ascii="Times New Roman" w:hAnsi="Times New Roman"/>
          <w:b/>
        </w:rPr>
        <w:t>Obrazloženje</w:t>
      </w:r>
    </w:p>
    <w:p>
      <w:pPr>
        <w:pStyle w:val="Normal"/>
        <w:jc w:val="center"/>
        <w:rPr>
          <w:rFonts w:ascii="Times New Roman" w:hAnsi="Times New Roman"/>
          <w:b/>
          <w:b/>
        </w:rPr>
      </w:pPr>
      <w:r>
        <w:rPr>
          <w:rFonts w:ascii="Times New Roman" w:hAnsi="Times New Roman"/>
          <w:b/>
        </w:rPr>
      </w:r>
    </w:p>
    <w:p>
      <w:pPr>
        <w:pStyle w:val="Normal"/>
        <w:jc w:val="both"/>
        <w:rPr>
          <w:rFonts w:ascii="Times New Roman" w:hAnsi="Times New Roman"/>
        </w:rPr>
      </w:pPr>
      <w:r>
        <w:rPr>
          <w:rFonts w:ascii="Times New Roman" w:hAnsi="Times New Roman"/>
        </w:rPr>
        <w:tab/>
        <w:t>Tužitelj u tužbi pod posl.br. P-3124/14 navodi da je bio zaposlenik tuženika i njegovih pravnih prednika od 1980.g., a posljednji ugovor kojim su se utvrdila njegova prava i obveze 07. studenog 2006.g. na neodređeno vrijeme za obavljanje poslova kontrolor montaže motora. Tuženiku je radni odnos prestao odlukom o redovitom otkazu ugovora o radu zbog poslovno uvjetovanih razloga dana 31. listopada 2013.g. Odlukom o otkazu utvrđeno je da će se iznosom otpremnine koju ima tužitelju utvrditi zasebni sporazumom koji je također zaključen 31.listopada 2013.g. Dana 19. svibnja 2014.g. tužitelj je u Novom listu pročitao članak "MID na korak od stečaja: Jedina slamka spasa novi vlasnik poštenih namjera" u kojem se tvrdi da su radnici MID-a prevareni od strane uprave te da su im isplaćene otpremnine daleko manje od predviđenih kolektivnim ugovorom (dalje: KU). Navedeni sadržaj novinskog članka "uzmi ili ostavi" je blagi prikaz stanja psihoze i ostalog što su tužitelji prolazili u tom periodu. Tuženik je u čl. 4. potpisanog sporazuma na izričito perfidan način imputirao da bi predmetni sporazum predstavljao poslovnu tajnu te s time ugovorio za tužitelja ogromnu naknadu štete za sebe ukoliko bi tužitelj otkrio sadržaj sporazuma. Tuženik da je na prijevaran i prijeteći način doveo tužitelja u bitnu zabludu glede njegovih prava ioz radnog odnosa  i time ga naveo da  pristane na otkaz i potpiše sporazum. Naime, tužitelju je od odgovornih osoba tuženika rečeno da će dobiti otkaz kao tehnološki višak, te otići na Zavod za zapošljavanje  uz minimalnu otpremninu prema Zakonu o radu, jer da Kolektivni ugovor više ne vrijedi. Na taj način da je tužitelj bio uvjeren da dobiva veću otpremninu ukoliko potpiše Otkaz i sporazum. Tužitelj da je morao potpisati istovremeno Otkaz i sporazum, bez vremena da razmisli sa bilo kim se savjetuje.  Međutim nije točno da KU više nije vrijedio jer je između tuženika i Sindikata zaključen Ku u studenom 2008 godine koji je KU upisan u knjigu evidencije ureda Državne uprave pod brojem 6/08, te Aneks KU od 14. Srpnja 2009 godine koji je nadležnom tijelu dostavljen 16.07.2009 godine pod brojem 6/08-1.Naime, odredbom čl. 48 važećeg KU stavkom 3 određeno je da u slučaju radnika za čijim je radom prestala potreba zbog poslovno uvjetovanih razloga (gospodarskih, tehničkih ili organizacijskih) otpremnina ne može biti manja od najvišeg neoporezivog iznosa otpremnine zbog poslovno uvjetovanog otkaza prema posebnim propisima za svaku navršenu godinu rada kod poslodavca, njegovih pravnih prednika odnosno društva u sastavu grupe 3.Maj. Pravilnikom o porezu na dohodak (NN broj 95/05, 96/06, 68/08, 146/08, 2/09, 9/09, 146/09, 123/10, 137/11, 61/12, 79/13 i 160/13) određeno je da je taj iznos 6.400,00 kn. Kao se tužitelj kod tuženika zaposlio 01.09.1980 godine tj navršio 33 godine radnog staža to bi mu prpripadala otprenina prema KU u iznosu od 211.200,00 kuna (33x6.400,00 kuna.). Tužitelj smatra da je radnjama tuženika doveden u zabludu o sadržaju svojih prava, a odredbama o poslovnoj tajni i prijetećoj ugovorenoj šteti iz Sporazuma održavan  u istoj. Kako su na strani tužitelja, prilikom potpisivanja Sporazuma postojale mane volje, to je predmetni sporazum pobojan, a temeljem odredbe čl. 330 ZOO-a. Nadalje sporazum je i ništetan i u smislu čl. 322 ZOO-a jer je  njegova svrha i cilj izigravanje primjene odredbe čl. 9 Zakona o radu, odnosno primjene zajamčeno najpovoljnijeg prava za tužitelja, konkretno isplate otpremnine u visini KU tuženika. Tužitelj je naveo i da se radnik ne može odreći svoje tražbine prije nego ista postoji. Pravo na otpremninu jei tužitelj stekao pravomoćnošću odluke o otkazu što može biti tek 01. studenog 2013.g. te stoga tužiteljevo odricanje od dijela otpremnine koji bi mu pripao temeljem KU je nevaljalo, ništetno i iz tog razloga. Sukladno čl. 203. ZOO-a svatko se može odreći tražbine ali samo u slučaju da ista postoji odnosno da je dospjela. Dakle nije moguće da se radnik bilo kakvom izjavom unaprijed odrekne svoga prava na otpremninu, a posebno ne prije nego je donesena odluka o otkazu. Tužitelju je temeljem pobijanog sporazuma  isplaćena otpremnina u visini od 75.000,00 kuna pa isti tužbom potražuje razliku između isplaćene i pripadajuće otpremnine  u preostalom iznosu od 136.200,00 kuna, s kamatom i troškom postupka. Stoga predlaže da sud donese odluku kojom će utvrditi da je Sporazum ništetan, podredno pobojan, te naložiti tuženiku isplatu iznosa od 136.200,00kuna sa kamatom  i troškom postupka.</w:t>
      </w:r>
    </w:p>
    <w:p>
      <w:pPr>
        <w:pStyle w:val="Normal"/>
        <w:ind w:firstLine="708"/>
        <w:jc w:val="both"/>
        <w:rPr>
          <w:rFonts w:ascii="Times New Roman" w:hAnsi="Times New Roman"/>
        </w:rPr>
      </w:pPr>
      <w:r>
        <w:rPr>
          <w:rFonts w:ascii="Times New Roman" w:hAnsi="Times New Roman"/>
        </w:rPr>
      </w:r>
    </w:p>
    <w:p>
      <w:pPr>
        <w:pStyle w:val="Normal"/>
        <w:ind w:firstLine="708"/>
        <w:jc w:val="both"/>
        <w:rPr>
          <w:rFonts w:ascii="Times New Roman" w:hAnsi="Times New Roman"/>
        </w:rPr>
      </w:pPr>
      <w:r>
        <w:rPr>
          <w:rFonts w:ascii="Times New Roman" w:hAnsi="Times New Roman"/>
        </w:rPr>
        <w:t xml:space="preserve">Tužitelj u tužbi pod posl.br. P-2151/14 navodi da je dana 31.10.2013 godine  sa tuženikom zaključio sporazum kojim se tuženik kao poslodavac obvezao isplatiti tužitelju na ime otpremnine iznos od 75.000,00 kuna u roku od 3 mjeseca počam od dana prestanka radnog odnosa. Radni odnos prestao je danom potpisivanja Sporazuma odnosno 31.10.2013 godine. Potraživanje s osnova otpremnine dospjelo je 31.01.2014 godine  a isplaćeno je s zakašnjenjem i to 53.350,20 kuna 11. 04.2014 godine a iznos od 21.649,80 kuna dana 14.04. 2014 godine. Zbog zakašnjenja u plaćanju tuženiku duguje tužitelju zakonsku zateznu kamatu od dospijeća do isplate u iznosu od 1.772,04 kune. Stoga tužitelj predlaže da mu tuženik isplati navedeni iznos sa kamatom  i troškom postupka. </w:t>
      </w:r>
    </w:p>
    <w:p>
      <w:pPr>
        <w:pStyle w:val="Normal"/>
        <w:jc w:val="both"/>
        <w:rPr>
          <w:rFonts w:ascii="Times New Roman" w:hAnsi="Times New Roman"/>
          <w:color w:val="000000"/>
        </w:rPr>
      </w:pPr>
      <w:r>
        <w:rPr>
          <w:rFonts w:ascii="Times New Roman" w:hAnsi="Times New Roman"/>
          <w:color w:val="000000"/>
        </w:rPr>
      </w:r>
    </w:p>
    <w:p>
      <w:pPr>
        <w:pStyle w:val="Normal"/>
        <w:ind w:firstLine="708"/>
        <w:jc w:val="both"/>
        <w:rPr>
          <w:rFonts w:ascii="Times New Roman" w:hAnsi="Times New Roman"/>
          <w:color w:val="000000"/>
        </w:rPr>
      </w:pPr>
      <w:r>
        <w:rPr>
          <w:rFonts w:ascii="Times New Roman" w:hAnsi="Times New Roman"/>
          <w:color w:val="000000"/>
        </w:rPr>
        <w:t>Rješenjem suda od 24. travnja 2015.g. spojeni su gore navedeni predmeti radi zajedničkog raspravljanja, te je postupak nastavljen pod posl.br. P-3124/14.</w:t>
      </w:r>
    </w:p>
    <w:p>
      <w:pPr>
        <w:pStyle w:val="Normal"/>
        <w:jc w:val="both"/>
        <w:rPr>
          <w:rFonts w:ascii="Times New Roman" w:hAnsi="Times New Roman"/>
        </w:rPr>
      </w:pPr>
      <w:r>
        <w:rPr>
          <w:rFonts w:ascii="Times New Roman" w:hAnsi="Times New Roman"/>
        </w:rPr>
        <w:tab/>
      </w:r>
    </w:p>
    <w:p>
      <w:pPr>
        <w:pStyle w:val="Normal"/>
        <w:ind w:firstLine="708"/>
        <w:jc w:val="both"/>
        <w:rPr>
          <w:rFonts w:ascii="Times New Roman" w:hAnsi="Times New Roman"/>
        </w:rPr>
      </w:pPr>
      <w:r>
        <w:rPr>
          <w:rFonts w:ascii="Times New Roman" w:hAnsi="Times New Roman"/>
        </w:rPr>
        <w:t>U odgovoru na  tužbu tuženik je naveo kako je sa tužiteljem sklopio Sporazum dana 31. listopada 2013.g. kojim su stranke uredile svoje odnose vezane za prestanak radnog odnosa  tužitelja kao radnika kod tuženika kao poslodavca  i kojim su suglasno ugovorili iznose otpremnine koji iznos je trebao isplatiti tuženik. Poslodavac je dana 31. listopada 2013.godine donio Odluke o redovitom otkazu ugovora o radu zbog poslovno uvjetovanih razloga za tužitelja koju odluku je tužitelj zaprimio dana 31. listopada 2013.godine, te se po primitku iste odrekao prava citiranu odluku pobijati pred sudom i drugim tijelima, a ujedno se odrekao i tužbenog zahtjeva za pobijanje sporazuma budući da  se u cijelosti usuglasio sa svim odredbama Odluke i Sporazuma. U citiranom Sporazumu tuženik kao poslodavac i tužitelj kao radnik su se suglasili kako će tuženik kao poslodavac isplatiti tužitelju kao radniku iznose otpremnine pojedinačno utvrđene u Sporazumu u roku od tri mjeseca počev od dana sklapanja sporazuma kao dana prestanka radnog odnosa. Tuženik je ispunio svoju obvezu isplate otpremnine dana 11. travnja 2014.godine i isplatom ugovorenog iznosa na tekući račun tužitelja. Tuženik je za tužitelja kao i za ostale radnike u Sporazumu ugovorio veće iznose otpremnina od onih predviđenih Zakonom o radu (dalje: ZR) pa je tuženik sa svakim od 104 radnika pojedinačno sklopio Sporazum. Ipak tuženik je pri takvom ugovaranju većeg iznosa otpremnine od onog predviđenom ZR-om nastojao izbjeći štetne posljedice za slučaj kad bi svih 104 radnika koji su proglašeni tehnološkim viškom javno iznosili svoje iznose otpremnine te nastojao izbjeći štetne posljedice pokretanja sudskih i drugih postupaka iz kojih razloga je izričito ugovorio kako suglasno određeni iznosi otpremnine predstavljaju poslovnu tajnu, radnike je obvezao na čuvanje poslovne tajne u svezi otpremnine, a radnici su se obvezali i odrekli prava na pobijanje navedenog sporazuma kao i prava od tuženika kao poslodavca potraživati veći iznos otpremnine od onog ugovorenog u Sporazumu. Ujedno su se radnici obvezali da neće protiv tuženika kao poslodavca pokretati sudske i druge postupke, te su se  izričito odrekli i potraživati od tuženika bilo koji iznos tražbine izuzev onog navedenog u Sporazumu. Tuženik  da je u postupku predstečajne nagodbe pa da stoga bi navedeni postupak trebalo prekinuti sukladno odredbama čl. 70. st. 2. Zakona o financijskom poslovanju i predstečajnoj nagodbi (dalje: Zakona o predstečajnoj nagodbi) odnosno tužbu tužitelja odbaciti kao nedopuštenu. Stavio je prigovor promašene aktivne legitimacije te nepostojanja pravnog interesa tužitelja na podnošenje tužbe. Tuženik je prigovorio i da se radi o radnom sporu kao i o označenoj vrijednosti predmeta spora. Tužitelj da se potpisom odluke o redovitom otkazu ugovora o radu zbog poslovno uvjetovanih razloga (dalje: odluke o otkazu) i potpisom Sporazuma u cijelosti odrekao prava sudskim putem potraživati naplatu iznosa bilo koje tražbine iz/ili u svezi radnog odnosa pa tako i ovdje utuženog iznosa otpremnine. Tuženik je dodao i da ukoliko je tužitelj imao namjeru pokrenuti spor radi ništetnosti odluke o redovnom otkazu od dana 31. listopada 2013.g. odnosno radi utvrđivanja ništetnosti sporazuma tada je morao u roku od 15 dana počem od dana primitka takvih odluka postaviti zahtjev za zaštitu povrijeđenih prava, a tek nakon proteka rokova iz čl. 29. ZR-a podnijeti tužbu sudu, stoga je isti prekludiran u svom pravu pobijati odluku o redovnom otkazu kao i sporazum i isti tužbeni zahtjev treba odbaciti.  Tuženik je prigovorio i da bi bili ispunjeni uvjeti za ništetnost, a posebno ne za pobojnost Sporazuma jer su tužitelju za pobojnost protekli svi zakonski rokovi. Naime  sukladno čl. 335 ZOO-a rok u kojem se može zahtijevati poništaj je godinu dana od dana saznanja za razlog pobojnosti odnosno rok od 3 godine od zaključenja sporazuma.  Kako je Sporazum sklopljen dana 31. listopada 2013 godine a tužba je podnesena 31.12.2014 godine jasno je da je tužitelj prekludiran u podnošenju tužbe za pobojnost sporazuma.  Tužitelj ničim ne dokazuje u pogledu čega je tužitelj doveden u bitnu zabludu, kao niti na koji je način tuženik tužitelju prijetio i primjenjiva silu, a posebno kraj činjenice da je tuženik kao pravna osoba koja nema volju niti voljne čini može izvršiti "prisilu". Iz sadržaja tužbe očito proizlazi da se tužitelji poziva da je zaključio predmetni Sporazum u stanju zablude, straha i neizvjesnosti, a koje mane volje svakako nisu ekvivalent prisile niti iste stvaraju iste posljedice ništetnosti koju bi imala prisila. Pri tome istina ukazuje na koji način je na njih vršila prisila, odnosno na koji su način dovedeni u strah, budući je iz samog Sporazuma razvidno kako je tužitelji slobodnom voljom i od nikoga prisiljen potpisati Sporazum. Također je vidljivo iz maila od 30. listopada 2013.g. da su svi radnici obaviješteni o mogućnosti da ukoliko ne sklope predmetni Sporazum, da će biti upućeni na čekanje, a koja rečenica svakako ne predstavlja širenje straha prisile ili zablude već su radnici imali slobodnu volju ili da potpišu Sporazum ili da budu stavljeni na čekanje nakon 01. studenog 2013.g., a koji se odabir radnicima nudio temeljem zakonski izrađenog Programa zbrinjavanja viška radnika. Tuženi je naime 30. rujna 2013.g. izradio Program zbrinjavanja viška radnika (dalje: Program) koji je 01. listopada 2013.g. dostavljen Hrvatskom zavodu za zapošljavanje (dalje: HZZZ). U navedenom programu u cijelosti su ispoštovane zakonom propisane procedure za davanje otkaza 104 radnika obuhvaćenih Programom. Inspekcijskim nadzorom od 09. prosinca 2013.g. od strane više inspektorice rada koja je obavljala nadzor nije pronađena niti jedna povreda odredbe ZR-a. Netočno je i da bi  se tužitelj odricanjem od  materijalnih prava odrekao prava na otpremninu koja mu je imala pripasti sukladno odredbama KU iz razloga što se isti KU uopće ne primijenjuje na radnike tuženika. Naime, društvo 3 maj MID d.d.je dana 27. lipnja 2013.g. prijenosom dionica sa društva BI 3 maj na novog dioničara RH zastupanog po AUDIO (sada DUUDI) nedvojbeno izašli iz grupe 3 maj. Odredbama čl. 2. KU određeno je personalno polje njegove primjene radnike/radnice društva u sastavu grupe 3 maj pa jasno je da je da je izlaskom tuženika iz navedene grupe prestao važiti KU stoga je očito da tužitelj ne bi dobio otpremninu prema KU, pa je tužitelji zapravo isplatom prema Sporazumu nedvojbeno dobio veći iznos otpremnine nego što bi mu pripao po ZR-u. Zakonom o kriterijima za sudjelovanje u triparitnim tijelima i reprezentativnosti za kolektivno pregovaranje (NN 82/12, 88/12) propisano je najdulje moguće trajanje produžene primjene pravnih pravila sadržanih u kolektivnim ugovorima te je odredbom čl.27.st.2. propisano da se pravna pravila kojima se uređuje sklapanje, sadržaj i prestanak radnog odnosa, sadržana u KU koji nisu istekli te u KU sklopljenom na neodređeno vrijeme a kojima je u slučaju otkazivanja ugovorena njihova produžena primjena, mogu produženo primjenjivati kao dio prethodno sklopljenih ugovora o radu do sklapanja novog KU, a najduže 3 mjeseca od isteka roka na koji je bio sklopljen KU, odnosno najduže 3 mjeseca od proteka otkaznog roka, dok je odredbom čl. 27.st. 4. istog Zakona propisano da danom stupanja na snagu navedenog Zakona prestaje važiti odredba čl.262. Zakona o radu.Stoga iz naprijed citiranih zakonskih odredbi proizlazi kako je produžena primjena pravnih pravila sadržanih u KU mogla trajati najkasnije do zaključno dana 27.rujna 2013.godine dok je pobijani Sporazum kojim je određena visina iznosa otpremnine koja je pripadala 1 do 9 tužiteljima sklopljen dana 31.listopada 2013.godine odnosno u vrijeme kada više ne bi trajala produžena primjena pravnog pravila predmetnog KU. Stoga sklopljeni sporazum je povoljniji za tužitelja kao radnika u odnosu na visinu iznosa otpremnine predviđenu odredbom čl. 119. Zakona o radu. Prema stavu tuženika ukoliko se utvrdi da je Sporazum ništetan, tada bi tuženik imao pravo potraživati od tužitelja razliku iznosa isplaćenog po Sporazumu i onih iznosa koji bi svakom od tužitelja pripadao na ime otpremnine temeljem Zakona o radu što je niži iznos otpremnine od onog ugovorenog Sporazumom. U odnosu na dio tužbenog zahtjeva koji se odnosi na utvrđenja ništetnosti Sporazuma tuženik je naveo kako tužitelj navodi da je isti nevaljan iz razloga što je prilikom zaključenja navodno izvršena prisila od strane tuženika odnosno zbog bitne zablude. Prema stavu tuženika mane volje koju ističe tužitelj proizvode pravne učinke pobojnosti sporazuma zbog čega se predlaže odbaciti tužbeni zahtjev obzirom da tuženik kao pravna osoba nije mogao prijetiti tužitelju  i prisiliti ga na potpisivanje takvog sporazuma. Osim toga za takvu pobojnost nastupila je i zastara postupka. Prema stavu tuženika tužitelj nastoji dokazati da je predmetni sporazum potpisan na način da postoje mane volje na strani tužitelja nastale navodnom prisilom na potpisivanje Sporazuma. Tuženik je također istaknuo kako se tužitelj člankom 5. Sporazuma odrekao prava sudskim putem potraživati naplatu iznosa bilo koje tražbine iz ili u svezi bilo kojeg radnog odnosa pa tako i iznosa zatraženih kamata na neisplaćenu otpremninu. Stoga je takav tužbeni zahtjev u smislu odredbe čl. 83. Zakona o parničnom postupku nedopušten. Stoga je tuženik  predložio odbijanje tužbe i tužbenog zahtjeva tužitelja u cijelosti uz naknadu prouzročenog parničnog troška.</w:t>
      </w:r>
    </w:p>
    <w:p>
      <w:pPr>
        <w:pStyle w:val="Normal"/>
        <w:ind w:firstLine="708"/>
        <w:jc w:val="both"/>
        <w:rPr>
          <w:rFonts w:ascii="Times New Roman" w:hAnsi="Times New Roman"/>
        </w:rPr>
      </w:pPr>
      <w:r>
        <w:rPr>
          <w:rFonts w:ascii="Times New Roman" w:hAnsi="Times New Roman"/>
        </w:rPr>
      </w:r>
    </w:p>
    <w:p>
      <w:pPr>
        <w:pStyle w:val="Normal"/>
        <w:jc w:val="both"/>
        <w:rPr>
          <w:rFonts w:ascii="Times New Roman" w:hAnsi="Times New Roman"/>
        </w:rPr>
      </w:pPr>
      <w:r>
        <w:rPr>
          <w:rFonts w:ascii="Times New Roman" w:hAnsi="Times New Roman"/>
        </w:rPr>
        <w:tab/>
        <w:t>Sud je proveo dokaz čitanjem dokumentacije priložene spisu i to uvidom u Sporazum (str. 5-6), Odluka o otkazu (str. 7-8), preslika  članka iz Novog lista   ( str. 6-11, 41), preslika e-maila od. 31.10.2013 godine (str. 12 spisa) visina neoporezivih iznosa (str 13. spisa), Kolektivni ugovor (str. 14-18 spisa) Aneks KU ( str. 19-20 spisa), preslika radne knjižice (str 21  spisa), potvrda o uplati na tekući račun tužitelja ( str. 22 spisa). izvadak iz sudskog registra (str. 22, 61-65) preslika rješenja Pž 1810/14 (str. 30), preslika rješenja Ovr-1034/14 (str. 31), zapisnik (str. 32),  zahtjev za ispravak neispravne informacije (str. 33 spisa), Odluka o davanju suglasnosti na tekst Ugovora o prijenosu dionica i poslovnih udjela  društva 3. Maj (str. 45-57), obračuni plaće za tužitelja za 8, 9. i 10. mjesec 2013. god. (str. 52-54), preslika presude P-342/14 Općinskog suda u Opatiji (str. 55-60), Ugovor o prijenosu dionica 3 maj bez naknade (str. 168-112), KU od 19. studenog 2013. godine (str. 115-117), obavijest o upis u evidenciju reprezentativnih sindikata (str.118 spisa), preslika presude P-201/15 Prekršajnog suda u Rijeci (str. 123-127), zastupničko pitanje Dragutina Lesara (str. 128-129 i 135), Program zbrinjavanja viška radnika (str. 133), zapisnik sa sastanka 25.09.2013. (str. 134), preslika presude P-1033/14 (str. 144-152),</w:t>
      </w:r>
      <w:r>
        <w:rPr>
          <w:rFonts w:ascii="Times New Roman" w:hAnsi="Times New Roman"/>
          <w:b/>
        </w:rPr>
        <w:t xml:space="preserve"> </w:t>
      </w:r>
      <w:r>
        <w:rPr>
          <w:rFonts w:ascii="Times New Roman" w:hAnsi="Times New Roman"/>
        </w:rPr>
        <w:t>potvrda o prestanku rada zaposlenika i o plaći (str. 162), priopćenje za javnost (str. 163-164), zapisnik o saslušanju svjedoka (str. 165-168), dopis regionalnog povjerenika SMH (str. 169), preslika presude  Gž R 386/16 (str. 174-175 spisa), saslušani su svjedoci Kristijan Cvjetović (str. 136-137), Ružica Ožbolt (str.138), Gradimir Šain (str. 139), Vedran Sabljak (str. 153), Bosiljka Zlojutro (str. 154-155), svjedok Nika Lamešić (str.156-157), svjedok Gordan Senić (str. 183-185), te je saslušan tužitelj kao stranka (str. 187-188), uvidom u posl.br. P-2151/147 i to uvidom u Sporazum (str. 3-5), potvrda o prestanku rada zaposlenika i o plaći (str. 6), potvrda o uplati na tekući račun tužitelja (str. 7),obračun kamata (str. 8), izvadak iz sudskog registra (str. 13-16), preslika rješenja Pž 1810/14 (str. 17-21), preslika rješenja Ovr-1034/14 (str. 22-23), prihvaćeni nalog (str. 24-25),  specifikacija neto uplata ( str. 26-30).</w:t>
      </w:r>
    </w:p>
    <w:p>
      <w:pPr>
        <w:pStyle w:val="Normal"/>
        <w:jc w:val="both"/>
        <w:rPr>
          <w:rFonts w:ascii="Times New Roman" w:hAnsi="Times New Roman"/>
          <w:b/>
          <w:b/>
        </w:rPr>
      </w:pPr>
      <w:r>
        <w:rPr>
          <w:rFonts w:ascii="Times New Roman" w:hAnsi="Times New Roman"/>
          <w:b/>
        </w:rPr>
        <w:t xml:space="preserve"> </w:t>
      </w:r>
    </w:p>
    <w:p>
      <w:pPr>
        <w:pStyle w:val="Normal"/>
        <w:jc w:val="both"/>
        <w:rPr>
          <w:rFonts w:ascii="Times New Roman" w:hAnsi="Times New Roman"/>
        </w:rPr>
      </w:pPr>
      <w:r>
        <w:rPr>
          <w:rFonts w:ascii="Times New Roman" w:hAnsi="Times New Roman"/>
        </w:rPr>
        <w:tab/>
        <w:t>Među strankama je nesporno da je tužitelj bivši radnik tuženika kojima je radni odnos prestao temeljem Odluke o otkazu ugovora o radu zbog poslovno uvjetovanih razloga i to dana  31. listopada 2013.g., kada je zaključio i Sporazum kojim je ugovorio iznos otpremnine.</w:t>
      </w:r>
    </w:p>
    <w:p>
      <w:pPr>
        <w:pStyle w:val="Normal"/>
        <w:jc w:val="both"/>
        <w:rPr>
          <w:rFonts w:ascii="Times New Roman" w:hAnsi="Times New Roman"/>
        </w:rPr>
      </w:pPr>
      <w:r>
        <w:rPr>
          <w:rFonts w:ascii="Times New Roman" w:hAnsi="Times New Roman"/>
        </w:rPr>
      </w:r>
    </w:p>
    <w:p>
      <w:pPr>
        <w:pStyle w:val="Normal"/>
        <w:jc w:val="both"/>
        <w:rPr>
          <w:rFonts w:ascii="Times New Roman" w:hAnsi="Times New Roman"/>
        </w:rPr>
      </w:pPr>
      <w:r>
        <w:rPr>
          <w:rFonts w:ascii="Times New Roman" w:hAnsi="Times New Roman"/>
        </w:rPr>
        <w:tab/>
        <w:t>Sporno je među strankama da li je Sporazuma ništetan, podredno pobojan, te da li je tuženik stoga tužitelju dužan isplatiti dio otpremnine koji bi im pripadao da mu je otpremnina isplaćena temelje KU tuženika, kao i da li mu je dužan isplatiti kamatu na već isplaćeni dio otpremnine od dospijeća do isplate.</w:t>
      </w:r>
    </w:p>
    <w:p>
      <w:pPr>
        <w:pStyle w:val="Normal"/>
        <w:jc w:val="both"/>
        <w:rPr>
          <w:rFonts w:ascii="Times New Roman" w:hAnsi="Times New Roman"/>
        </w:rPr>
      </w:pPr>
      <w:r>
        <w:rPr>
          <w:rFonts w:ascii="Times New Roman" w:hAnsi="Times New Roman"/>
        </w:rPr>
      </w:r>
    </w:p>
    <w:p>
      <w:pPr>
        <w:pStyle w:val="Normal"/>
        <w:ind w:firstLine="708"/>
        <w:jc w:val="both"/>
        <w:rPr>
          <w:rFonts w:ascii="Times New Roman" w:hAnsi="Times New Roman"/>
        </w:rPr>
      </w:pPr>
      <w:r>
        <w:rPr>
          <w:rFonts w:ascii="Times New Roman" w:hAnsi="Times New Roman"/>
        </w:rPr>
        <w:t xml:space="preserve"> </w:t>
      </w:r>
      <w:r>
        <w:rPr>
          <w:rFonts w:ascii="Times New Roman" w:hAnsi="Times New Roman"/>
        </w:rPr>
        <w:t>Sud nije prihvatio prigovor tuženika kako je tužbeni zahtjev nedopušten sukladno odredbi čl. 70.st. 2 Zakona o financijskom poslovanju i predstečajnoj nagodbi iz razloga što je odredbom čl. 71.st.3. istog Zakona propisano da postupak predstečajne nagodbe ne utječe na prioritetne tražbine. Člankom 3.st.1. t.13. istog Zakona propisano je da su prioritetne tražbine između ostalog i tražbine na ime isplate materijalnih prava radnika. Kako u konkretnom slučaju tužitelj tužbom potražuje isplatu otpremnine i zakonske zatezne kamate na isplaćeni iznos otpremnine radi se o prioritetnoj tražbini iz čl.3. st.1. .13. Zakona o financijskom poslovanju i predstečajnoj nagodbi.</w:t>
      </w:r>
    </w:p>
    <w:p>
      <w:pPr>
        <w:pStyle w:val="Normal"/>
        <w:ind w:firstLine="708"/>
        <w:jc w:val="both"/>
        <w:rPr>
          <w:rFonts w:ascii="Times New Roman" w:hAnsi="Times New Roman"/>
        </w:rPr>
      </w:pPr>
      <w:r>
        <w:rPr>
          <w:rFonts w:ascii="Times New Roman" w:hAnsi="Times New Roman"/>
        </w:rPr>
      </w:r>
    </w:p>
    <w:p>
      <w:pPr>
        <w:pStyle w:val="Normal"/>
        <w:ind w:firstLine="708"/>
        <w:jc w:val="both"/>
        <w:rPr>
          <w:rFonts w:ascii="Times New Roman" w:hAnsi="Times New Roman"/>
        </w:rPr>
      </w:pPr>
      <w:r>
        <w:rPr>
          <w:rFonts w:ascii="Times New Roman" w:hAnsi="Times New Roman"/>
        </w:rPr>
        <w:t>Ovaj sud nije prihvatio prigovor tuženika da se tužitelj potpisom Sporazuma odrekao prava potraživati naplatu bilo koje tražbine iz radnog odnosa. Naime, u konkretnom slučaju tužitelju temeljem Zakona o radu i odredbi Kolektivnog ugovora pripada sudska zaštita prava iz radnog odnosa te se tužitelj prije dospjelosti  sporazumno utvrđene otpremnine, a za isplatu koje je rok bio od 3 mjeseca, nije mogao odreći prava na utuženje  i sudsku zaštitu budućeg potraživanja, jer bi isto u protivnom značilo da ukoliko tuženik  dobrovoljno ne isplati otpremninu tužitelj je ne bi mogao dobiti sudskim putem.</w:t>
      </w:r>
    </w:p>
    <w:p>
      <w:pPr>
        <w:pStyle w:val="Normal"/>
        <w:ind w:firstLine="708"/>
        <w:jc w:val="both"/>
        <w:rPr>
          <w:rFonts w:ascii="Times New Roman" w:hAnsi="Times New Roman"/>
        </w:rPr>
      </w:pPr>
      <w:r>
        <w:rPr>
          <w:rFonts w:ascii="Times New Roman" w:hAnsi="Times New Roman"/>
        </w:rPr>
      </w:r>
    </w:p>
    <w:p>
      <w:pPr>
        <w:pStyle w:val="Normal"/>
        <w:ind w:firstLine="708"/>
        <w:jc w:val="both"/>
        <w:rPr>
          <w:rFonts w:ascii="Times New Roman" w:hAnsi="Times New Roman"/>
        </w:rPr>
      </w:pPr>
      <w:r>
        <w:rPr>
          <w:rFonts w:ascii="Times New Roman" w:hAnsi="Times New Roman"/>
        </w:rPr>
        <w:t>Ovaj sud također nije prihvatio prigovor promašene pasivne legitimacije tuženika iz razloga što se u konkretnom slučaju radi o radnom sporu između tužitelja kao radnika i tuženika kao poslodavca te se na konkretni radni odnos primjenjuju odredbe Zakona o radu i važećeg kolektivnog ugovora  a nije sporno da je tuženik kao poslodavac tužitelju  kao radniku isplatio  ugovorenu otpremninu.</w:t>
      </w:r>
    </w:p>
    <w:p>
      <w:pPr>
        <w:pStyle w:val="Normal"/>
        <w:ind w:firstLine="708"/>
        <w:jc w:val="both"/>
        <w:rPr>
          <w:rFonts w:ascii="Times New Roman" w:hAnsi="Times New Roman"/>
        </w:rPr>
      </w:pPr>
      <w:r>
        <w:rPr>
          <w:rFonts w:ascii="Times New Roman" w:hAnsi="Times New Roman"/>
        </w:rPr>
      </w:r>
    </w:p>
    <w:p>
      <w:pPr>
        <w:pStyle w:val="Normal"/>
        <w:ind w:firstLine="708"/>
        <w:jc w:val="both"/>
        <w:rPr>
          <w:rFonts w:ascii="Times New Roman" w:hAnsi="Times New Roman"/>
        </w:rPr>
      </w:pPr>
      <w:r>
        <w:rPr>
          <w:rFonts w:ascii="Times New Roman" w:hAnsi="Times New Roman"/>
        </w:rPr>
        <w:t>Stoga se u konkretnom slučaju radi o radnopravnom odnosu između poslodavca i radnika  kako u pogledu glavnice, tako i kamata, a okolnost što je tuženik u prekršajnom postupku oslobođen prekršajne odgovornosti ne utječe na njegovu odgovornost kao poslodavca spram radnika.</w:t>
      </w:r>
    </w:p>
    <w:p>
      <w:pPr>
        <w:pStyle w:val="Normal"/>
        <w:jc w:val="both"/>
        <w:rPr>
          <w:rFonts w:ascii="Times New Roman" w:hAnsi="Times New Roman"/>
        </w:rPr>
      </w:pPr>
      <w:r>
        <w:rPr>
          <w:rFonts w:ascii="Times New Roman" w:hAnsi="Times New Roman"/>
        </w:rPr>
      </w:r>
    </w:p>
    <w:p>
      <w:pPr>
        <w:pStyle w:val="Normal"/>
        <w:jc w:val="both"/>
        <w:rPr>
          <w:rFonts w:ascii="Times New Roman" w:hAnsi="Times New Roman"/>
        </w:rPr>
      </w:pPr>
      <w:r>
        <w:rPr>
          <w:rFonts w:ascii="Times New Roman" w:hAnsi="Times New Roman"/>
        </w:rPr>
        <w:tab/>
        <w:t>Tužitelj nije osporavao odluke o otkazu ugovora o radu, pa je ista konačna i pravomoćna i nastupile su sve pravne posljedice iste. Zbog navedenog ovaj sud nije detaljnije obrazlagao odlučne činjenice vezane za donošenje Odluke o poslovno uvjetovanom otkazu ugovora o radu za tužitelja niti dokumentaciju dostavljenu u sudski spis koja se odnosi na isto. Naime radni odnos tužitelja pravomoćno je prestao Odlukom o redovitom otkazu ugovora o radu  zbog poslovno uvjetovanih razloga, pa sada više i nije relevantno da li je postojao ili ne program zbrinjavanja za radnike kao i da li je tužitelji bio na listi kao tehnološki višak i kako je na istu došao. Isto je bitno samo u pogledu  ništavost i pobojnosti  sporazuma i posljedice istog.</w:t>
      </w:r>
    </w:p>
    <w:p>
      <w:pPr>
        <w:pStyle w:val="Normal"/>
        <w:jc w:val="both"/>
        <w:rPr>
          <w:rFonts w:ascii="Times New Roman" w:hAnsi="Times New Roman"/>
        </w:rPr>
      </w:pPr>
      <w:r>
        <w:rPr>
          <w:rFonts w:ascii="Times New Roman" w:hAnsi="Times New Roman"/>
        </w:rPr>
      </w:r>
    </w:p>
    <w:p>
      <w:pPr>
        <w:pStyle w:val="Normal"/>
        <w:ind w:firstLine="708"/>
        <w:jc w:val="both"/>
        <w:rPr>
          <w:rFonts w:ascii="Times New Roman" w:hAnsi="Times New Roman"/>
        </w:rPr>
      </w:pPr>
      <w:r>
        <w:rPr>
          <w:rFonts w:ascii="Times New Roman" w:hAnsi="Times New Roman"/>
        </w:rPr>
        <w:t>Odlukom o otkazu ugovora o radu pozivom na čl. 107 ZR-a u točci 3 određen je datum prestanka radnog odnosa za  tužiteljem, s tim da od dana donošenja odluke do prestanka radnog odnosa radnik nije dužan dolaziti na posao. Člankom 5 radnik i poslodavac su dogovorili da će se iznos otpremnine odrediti zasebnim Sporazumom. U odluci o otkazu ugovora o radu izričito je navedeno kako tužitelj svojim potpisom potvrđuju da je odluku zaprimio dana 31. listopada 2013.godine.</w:t>
      </w:r>
    </w:p>
    <w:p>
      <w:pPr>
        <w:pStyle w:val="Normal"/>
        <w:ind w:firstLine="708"/>
        <w:jc w:val="both"/>
        <w:rPr>
          <w:rFonts w:ascii="Times New Roman" w:hAnsi="Times New Roman"/>
        </w:rPr>
      </w:pPr>
      <w:r>
        <w:rPr>
          <w:rFonts w:ascii="Times New Roman" w:hAnsi="Times New Roman"/>
        </w:rPr>
      </w:r>
    </w:p>
    <w:p>
      <w:pPr>
        <w:pStyle w:val="Normal"/>
        <w:ind w:firstLine="708"/>
        <w:jc w:val="both"/>
        <w:rPr>
          <w:rFonts w:ascii="Times New Roman" w:hAnsi="Times New Roman"/>
        </w:rPr>
      </w:pPr>
      <w:r>
        <w:rPr>
          <w:rFonts w:ascii="Times New Roman" w:hAnsi="Times New Roman"/>
        </w:rPr>
        <w:t>Tužitelj sada tvrdi da je navedeni Sporazum ništetan jer je bio prisiljeni potpisati navedeni sporazum, a također i jer isti suprotan pozitivnim propisima, pravnom poretku, te Kolektivnom Ugovoru  tuženika. Također navodi da je  Sporazum zaključio u stanju zablude i straha, nesvjestan svojih prava (tj. da je KU važeći) kao i obaveza poslodavca, zaveden navodima da ukoliko ne potpišu da će dobiti otkaz i otpremninu prema zakonu, koja bi bila znatno manja od one iz Sporazuma.</w:t>
      </w:r>
    </w:p>
    <w:p>
      <w:pPr>
        <w:pStyle w:val="Normal"/>
        <w:jc w:val="both"/>
        <w:rPr>
          <w:rFonts w:ascii="Times New Roman" w:hAnsi="Times New Roman"/>
        </w:rPr>
      </w:pPr>
      <w:r>
        <w:rPr>
          <w:rFonts w:ascii="Times New Roman" w:hAnsi="Times New Roman"/>
        </w:rPr>
      </w:r>
    </w:p>
    <w:p>
      <w:pPr>
        <w:pStyle w:val="Normal"/>
        <w:ind w:firstLine="708"/>
        <w:jc w:val="both"/>
        <w:rPr>
          <w:rFonts w:ascii="Times New Roman" w:hAnsi="Times New Roman"/>
        </w:rPr>
      </w:pPr>
      <w:r>
        <w:rPr>
          <w:rFonts w:ascii="Times New Roman" w:hAnsi="Times New Roman"/>
        </w:rPr>
        <w:t>Dakle, tužitelj svoj tužbeni zahtjev temelje na odredbi čl. 279 i 322 Zakona o obveznim odnosima (dalje ZOO-a) koji propisuju pretpostavke za utvrđenje ništetnosti, te odredbi čl. 330 ZOO-a koji propisuju pobojnost.</w:t>
      </w:r>
    </w:p>
    <w:p>
      <w:pPr>
        <w:pStyle w:val="Normal"/>
        <w:ind w:firstLine="708"/>
        <w:jc w:val="both"/>
        <w:rPr>
          <w:rFonts w:ascii="Times New Roman" w:hAnsi="Times New Roman"/>
        </w:rPr>
      </w:pPr>
      <w:r>
        <w:rPr>
          <w:rFonts w:ascii="Times New Roman" w:hAnsi="Times New Roman"/>
        </w:rPr>
      </w:r>
    </w:p>
    <w:p>
      <w:pPr>
        <w:pStyle w:val="Normal"/>
        <w:ind w:firstLine="708"/>
        <w:jc w:val="both"/>
        <w:rPr>
          <w:rFonts w:ascii="Times New Roman" w:hAnsi="Times New Roman"/>
        </w:rPr>
      </w:pPr>
      <w:r>
        <w:rPr>
          <w:rFonts w:ascii="Times New Roman" w:hAnsi="Times New Roman"/>
        </w:rPr>
        <w:t xml:space="preserve">Odredbom čl. 279 ZOO-a propisano je da ako je ugovorna strana ili netko treći nedopuštenom prijetnjom izazvao opravdani strah kod druge strane tako da je ona zbog toga sklopila ugovor, druga strana može zahtijevati da se ugovor poništi.(2) Strah se smatra opravdanim ako se iz okolnosti vidi da je ozbiljnom opasnošću ugrožen život, tijelo ili drugo značajno dobro ugovorne strane ili treće osobe  (3) Ugovor sklopljen uporabom sile prema ugovornoj strani ništetan je. </w:t>
      </w:r>
    </w:p>
    <w:p>
      <w:pPr>
        <w:pStyle w:val="Normal"/>
        <w:ind w:firstLine="708"/>
        <w:jc w:val="both"/>
        <w:rPr>
          <w:rFonts w:ascii="Times New Roman" w:hAnsi="Times New Roman"/>
        </w:rPr>
      </w:pPr>
      <w:r>
        <w:rPr>
          <w:rFonts w:ascii="Times New Roman" w:hAnsi="Times New Roman"/>
        </w:rPr>
      </w:r>
    </w:p>
    <w:p>
      <w:pPr>
        <w:pStyle w:val="Normal"/>
        <w:ind w:firstLine="708"/>
        <w:jc w:val="both"/>
        <w:rPr>
          <w:rFonts w:ascii="Times New Roman" w:hAnsi="Times New Roman"/>
        </w:rPr>
      </w:pPr>
      <w:r>
        <w:rPr>
          <w:rFonts w:ascii="Times New Roman" w:hAnsi="Times New Roman"/>
        </w:rPr>
        <w:t>Odredbom čl. 322 ZOO-a propisano je da ugovor koji je protivan Ustavu Republike Hrvatske, prisilnim propisima ili moralu društva ništetan je, osim ako cilj povrijeđenog pravila ne upućuje na neku drugu pravnu posljedicu ili ako zakon u određenom slučaju ne propisuje što drugo.(2) Ako je sklapanje određenog ugovora zabranjeno samo jednoj strani, ugovor je valjan ako u zakonu nije što drugo predviđeno za određeni slučaj, a strana koja je povrijedila zakonsku zabranu snosit će odgovarajuće posljedice.</w:t>
      </w:r>
    </w:p>
    <w:p>
      <w:pPr>
        <w:pStyle w:val="Normal"/>
        <w:ind w:firstLine="708"/>
        <w:jc w:val="both"/>
        <w:rPr>
          <w:rFonts w:ascii="Times New Roman" w:hAnsi="Times New Roman"/>
          <w:sz w:val="18"/>
          <w:szCs w:val="18"/>
        </w:rPr>
      </w:pPr>
      <w:r>
        <w:rPr>
          <w:rFonts w:ascii="Times New Roman" w:hAnsi="Times New Roman"/>
          <w:sz w:val="18"/>
          <w:szCs w:val="18"/>
        </w:rPr>
      </w:r>
    </w:p>
    <w:p>
      <w:pPr>
        <w:pStyle w:val="Normal"/>
        <w:ind w:firstLine="708"/>
        <w:jc w:val="both"/>
        <w:rPr>
          <w:rFonts w:ascii="Times New Roman" w:hAnsi="Times New Roman"/>
          <w:highlight w:val="white"/>
        </w:rPr>
      </w:pPr>
      <w:r>
        <w:rPr>
          <w:rFonts w:ascii="Times New Roman" w:hAnsi="Times New Roman"/>
        </w:rPr>
        <w:t>Odredbom čl. 330 ZOO-a propisano je da je u</w:t>
      </w:r>
      <w:r>
        <w:rPr>
          <w:rFonts w:ascii="Times New Roman" w:hAnsi="Times New Roman"/>
          <w:shd w:fill="FFFFFF" w:val="clear"/>
        </w:rPr>
        <w:t>govor je pobojan kad ga je sklopila strana ograničeno poslovno sposobna, kad je pri njegovu sklapanju bilo mana volje te kad je to ovim Zakonom ili posebnim propisom određeno.</w:t>
      </w:r>
    </w:p>
    <w:p>
      <w:pPr>
        <w:pStyle w:val="Normal"/>
        <w:ind w:firstLine="708"/>
        <w:jc w:val="both"/>
        <w:rPr>
          <w:rFonts w:ascii="Times New Roman" w:hAnsi="Times New Roman"/>
          <w:highlight w:val="white"/>
        </w:rPr>
      </w:pPr>
      <w:r>
        <w:rPr>
          <w:rFonts w:ascii="Times New Roman" w:hAnsi="Times New Roman"/>
          <w:shd w:fill="FFFFFF" w:val="clear"/>
        </w:rPr>
      </w:r>
    </w:p>
    <w:p>
      <w:pPr>
        <w:pStyle w:val="Normal"/>
        <w:ind w:firstLine="708"/>
        <w:jc w:val="both"/>
        <w:rPr>
          <w:rFonts w:ascii="Times New Roman" w:hAnsi="Times New Roman"/>
        </w:rPr>
      </w:pPr>
      <w:r>
        <w:rPr>
          <w:rFonts w:ascii="Times New Roman" w:hAnsi="Times New Roman"/>
          <w:shd w:fill="FFFFFF" w:val="clear"/>
        </w:rPr>
        <w:t>Prema odredbi članka 335. ZOO-a, pravo zahtijevati poništaj pobojnog ugovora prestaje istekom roka od jedne godine od saznanja za razlog pobojnosti, a u svakom slučaju istekom roka od tri godine od dana sklapanja ugovora</w:t>
      </w:r>
    </w:p>
    <w:p>
      <w:pPr>
        <w:pStyle w:val="Normal"/>
        <w:ind w:firstLine="708"/>
        <w:jc w:val="both"/>
        <w:rPr>
          <w:rFonts w:ascii="Times New Roman" w:hAnsi="Times New Roman"/>
        </w:rPr>
      </w:pPr>
      <w:r>
        <w:rPr>
          <w:rFonts w:ascii="Times New Roman" w:hAnsi="Times New Roman"/>
        </w:rPr>
      </w:r>
    </w:p>
    <w:p>
      <w:pPr>
        <w:pStyle w:val="Normal"/>
        <w:ind w:firstLine="708"/>
        <w:jc w:val="both"/>
        <w:rPr>
          <w:rFonts w:ascii="Times New Roman" w:hAnsi="Times New Roman"/>
        </w:rPr>
      </w:pPr>
      <w:r>
        <w:rPr>
          <w:rFonts w:ascii="Times New Roman" w:hAnsi="Times New Roman"/>
        </w:rPr>
        <w:t xml:space="preserve"> </w:t>
      </w:r>
      <w:r>
        <w:rPr>
          <w:rFonts w:ascii="Times New Roman" w:hAnsi="Times New Roman"/>
        </w:rPr>
        <w:t>Prema stavu ovog suda da bi Sporazum od 31.listopada 2013.godine bio utvrđen kao ništetan prethodno treba utvrditi da li je suprotan Ustavu RH, prinudnim propisima ili moralu društva. Uzevši u obzir navode punomoćnika tužitelja da su citiranim  Sporazumom povrijeđeni propisi koji se odnose na radnopravni status tužitelja kao radnika ovaj sud je prvenstveno utvrđivao da li je prilikom potpisivanja citiranog Sporazuma povrijeđen Zakon o radu,  KU a podredno i drugi zakonski propisi, Ustav RH i moral društva.</w:t>
      </w:r>
    </w:p>
    <w:p>
      <w:pPr>
        <w:pStyle w:val="Normal"/>
        <w:ind w:firstLine="708"/>
        <w:jc w:val="both"/>
        <w:rPr>
          <w:rFonts w:ascii="Times New Roman" w:hAnsi="Times New Roman"/>
        </w:rPr>
      </w:pPr>
      <w:r>
        <w:rPr>
          <w:rFonts w:ascii="Times New Roman" w:hAnsi="Times New Roman"/>
        </w:rPr>
        <w:t xml:space="preserve">      </w:t>
      </w:r>
    </w:p>
    <w:p>
      <w:pPr>
        <w:pStyle w:val="Normal"/>
        <w:ind w:firstLine="708"/>
        <w:jc w:val="both"/>
        <w:rPr>
          <w:rFonts w:ascii="Times New Roman" w:hAnsi="Times New Roman"/>
        </w:rPr>
      </w:pPr>
      <w:r>
        <w:rPr>
          <w:rFonts w:ascii="Times New Roman" w:hAnsi="Times New Roman"/>
        </w:rPr>
        <w:t xml:space="preserve">Međutim, samo se podredno navodi da je iz dokumentacije kao i iskaza saslušanih svjedoka Šain, Zlojutro, Cvjetković, Ožbolt, Senić i  Lamešić kao i iz iskaza samog tužitelja  vidljivo da je tuženik Odluke o otkazima i  Sporazume zaključivo isključivo sa radnicima koji su bili predviđeni za otkaz Planom i programom zbrinjavanja viška radnika, te da je na sve takve  Otkaze dana suglasnost Sindikata i Radničkog vijeća. </w:t>
      </w:r>
    </w:p>
    <w:p>
      <w:pPr>
        <w:pStyle w:val="Normal"/>
        <w:jc w:val="both"/>
        <w:rPr>
          <w:rFonts w:ascii="Times New Roman" w:hAnsi="Times New Roman"/>
        </w:rPr>
      </w:pPr>
      <w:r>
        <w:rPr>
          <w:rFonts w:ascii="Times New Roman" w:hAnsi="Times New Roman"/>
        </w:rPr>
      </w:r>
    </w:p>
    <w:p>
      <w:pPr>
        <w:pStyle w:val="Normal"/>
        <w:ind w:firstLine="708"/>
        <w:jc w:val="both"/>
        <w:rPr>
          <w:rFonts w:ascii="Times New Roman" w:hAnsi="Times New Roman"/>
        </w:rPr>
      </w:pPr>
      <w:r>
        <w:rPr>
          <w:rFonts w:ascii="Times New Roman" w:hAnsi="Times New Roman"/>
        </w:rPr>
        <w:t>U konkretnom slučaju tužitelj drži kako je potpisivanjem Sporazuma  povrijeđeno prava tužitelja u pogledu utvrđivanja visine otpremnine.</w:t>
      </w:r>
    </w:p>
    <w:p>
      <w:pPr>
        <w:pStyle w:val="Normal"/>
        <w:ind w:firstLine="708"/>
        <w:jc w:val="both"/>
        <w:rPr>
          <w:rFonts w:ascii="Times New Roman" w:hAnsi="Times New Roman"/>
        </w:rPr>
      </w:pPr>
      <w:r>
        <w:rPr>
          <w:rFonts w:ascii="Times New Roman" w:hAnsi="Times New Roman"/>
        </w:rPr>
      </w:r>
    </w:p>
    <w:p>
      <w:pPr>
        <w:pStyle w:val="Normal"/>
        <w:ind w:firstLine="708"/>
        <w:jc w:val="both"/>
        <w:rPr>
          <w:rFonts w:ascii="Times New Roman" w:hAnsi="Times New Roman"/>
        </w:rPr>
      </w:pPr>
      <w:r>
        <w:rPr>
          <w:rFonts w:ascii="Times New Roman" w:hAnsi="Times New Roman"/>
          <w:bCs/>
        </w:rPr>
        <w:t>Odredbom čl. 119. ZR-a propisano je da r</w:t>
      </w:r>
      <w:r>
        <w:rPr>
          <w:rFonts w:ascii="Times New Roman" w:hAnsi="Times New Roman"/>
        </w:rPr>
        <w:t>adnik kojem poslodavac otkazuje nakon dvije godine neprekidnog rada, osim ako se otkazuje iz razloga uvjetovanih ponašanjem radnika, ima pravo na otpremninu u iznosu koji se određuje s obzirom na dužinu prethodnog neprekidnog trajanja radnog odnosa s tim poslodavcem. (2) otpremnina se ne smije ugovoriti, odnosno odrediti u iznosu manjem od jedne trećine prosječne mjesečne plaće koju je radnik ostvario u tri mjeseca prije prestanka govora o radu, za svaku navršenu godinu rada kod tog poslodavca.(3) Ako zakonom, kolektivnim ugovorom, pravilnikom o radu ili ugovorom o radu nije određeno drukčije, ukupan iznos otpremnine iz stavka 2. ovoga članka ne može biti veći od šestprosječnih mjesečnih plaća koje je radnik ostvario u tri mjeseca prije prestanka ugovora o radu.</w:t>
      </w:r>
    </w:p>
    <w:p>
      <w:pPr>
        <w:pStyle w:val="Normal"/>
        <w:ind w:firstLine="708"/>
        <w:jc w:val="both"/>
        <w:rPr>
          <w:rFonts w:ascii="Times New Roman" w:hAnsi="Times New Roman"/>
        </w:rPr>
      </w:pPr>
      <w:r>
        <w:rPr>
          <w:rFonts w:ascii="Times New Roman" w:hAnsi="Times New Roman"/>
        </w:rPr>
      </w:r>
    </w:p>
    <w:p>
      <w:pPr>
        <w:pStyle w:val="Normal"/>
        <w:ind w:firstLine="708"/>
        <w:jc w:val="both"/>
        <w:rPr>
          <w:rFonts w:ascii="Times New Roman" w:hAnsi="Times New Roman"/>
        </w:rPr>
      </w:pPr>
      <w:r>
        <w:rPr>
          <w:rFonts w:ascii="Times New Roman" w:hAnsi="Times New Roman"/>
        </w:rPr>
        <w:t>Dakle, odredbom čl. 119. Zakona o radu pravo na otpremninu stječe radnik kod kojeg su kumulativno ispunjene pretpostavke i to da je kod poslodavca bio zaposlen neprekidno 2 godine te da je poslodavac otkazao radniku ugovor o radu time da ugovor o radu nije otkazan zbog skrivljenog ponašanja radnika.</w:t>
      </w:r>
    </w:p>
    <w:p>
      <w:pPr>
        <w:pStyle w:val="Normal"/>
        <w:ind w:firstLine="708"/>
        <w:jc w:val="both"/>
        <w:rPr>
          <w:rFonts w:ascii="Times New Roman" w:hAnsi="Times New Roman"/>
        </w:rPr>
      </w:pPr>
      <w:r>
        <w:rPr>
          <w:rFonts w:ascii="Times New Roman" w:hAnsi="Times New Roman"/>
        </w:rPr>
      </w:r>
    </w:p>
    <w:p>
      <w:pPr>
        <w:pStyle w:val="Normal"/>
        <w:ind w:firstLine="708"/>
        <w:jc w:val="both"/>
        <w:rPr>
          <w:rFonts w:ascii="Times New Roman" w:hAnsi="Times New Roman"/>
        </w:rPr>
      </w:pPr>
      <w:r>
        <w:rPr>
          <w:rFonts w:ascii="Times New Roman" w:hAnsi="Times New Roman"/>
        </w:rPr>
        <w:t>Ovaj sud drži kako je otpremnina institut koji ima zaštitnu funkciju te pripada radniku radi gubitka prihoda uzrokovanog zbog specifičnog načina i vremena prestanka radnog odnosa nastalog bez krivnje radnika. Pri tome se razlikuju zakonske i ugovorne otpremnine pri čemu pravo na zakonsku otpremninu ima radnik koji u slučaju prestanka radnog odnosa ostvari pravo na isplatu otpremnine čija se visina i način obračuna propisuje čl. 119. Zakona o radu.</w:t>
      </w:r>
    </w:p>
    <w:p>
      <w:pPr>
        <w:pStyle w:val="Normal"/>
        <w:ind w:firstLine="708"/>
        <w:jc w:val="both"/>
        <w:rPr>
          <w:rFonts w:ascii="Times New Roman" w:hAnsi="Times New Roman"/>
        </w:rPr>
      </w:pPr>
      <w:r>
        <w:rPr>
          <w:rFonts w:ascii="Times New Roman" w:hAnsi="Times New Roman"/>
        </w:rPr>
      </w:r>
    </w:p>
    <w:p>
      <w:pPr>
        <w:pStyle w:val="Normal"/>
        <w:ind w:firstLine="708"/>
        <w:jc w:val="both"/>
        <w:rPr>
          <w:rFonts w:ascii="Times New Roman" w:hAnsi="Times New Roman"/>
        </w:rPr>
      </w:pPr>
      <w:r>
        <w:rPr>
          <w:rFonts w:ascii="Times New Roman" w:hAnsi="Times New Roman"/>
        </w:rPr>
        <w:t>Ugovorne otpremnine bile bi one koje proistječu iz odredbi pojedinih ugovora o radu, KU, Sporazuma između radnika i poslodavca, te one koje proistječu iz odredaba Pravilnika o radu koje je donio poslodavac. Pri tome je postojanje i nastanak radnikova prava na otpremninu vezano izravno uz sam otkaz ugovora o radu i ne može nastati prije nego što je poslodavac donio odluku o otkazu ugovora o radu. Iz navedenog proizlazi da se radnik ne može prije otkazivanja odreći takvog, u trenutku odricanja, nepostojećeg prava na otpremninu. Stoga takvo odricanje od otpremnine unaprijed u trenutku kada to pravo radnik još niti nema ne proizvodi pravne učinke, ali nakon otkazivanja ugovora o radu može proizvesti pravne učinke i imati za posljedicu neisplatu otpremnine i to bez obzira na kogentnost odredbi čl. 119. Zakona o radu.</w:t>
      </w:r>
    </w:p>
    <w:p>
      <w:pPr>
        <w:pStyle w:val="Normal"/>
        <w:ind w:firstLine="708"/>
        <w:jc w:val="both"/>
        <w:rPr>
          <w:rFonts w:ascii="Times New Roman" w:hAnsi="Times New Roman"/>
        </w:rPr>
      </w:pPr>
      <w:r>
        <w:rPr>
          <w:rFonts w:ascii="Times New Roman" w:hAnsi="Times New Roman"/>
        </w:rPr>
      </w:r>
    </w:p>
    <w:p>
      <w:pPr>
        <w:pStyle w:val="Normal"/>
        <w:ind w:firstLine="708"/>
        <w:jc w:val="both"/>
        <w:rPr>
          <w:rFonts w:ascii="Times New Roman" w:hAnsi="Times New Roman"/>
        </w:rPr>
      </w:pPr>
      <w:r>
        <w:rPr>
          <w:rFonts w:ascii="Times New Roman" w:hAnsi="Times New Roman"/>
        </w:rPr>
        <w:t>Stoga je ovaj sud kao odlučnu činjenicu utvrđivao okolnost da li je tužitelji u konkretnom slučaju potpisao Sporazum a kojim Sporazumom je utvrđen iznos otpremnine, prije ili  nakon donošenje odluke o otkazu ugovora o radu zbog poslovno uvjetovanih razloga.</w:t>
      </w:r>
    </w:p>
    <w:p>
      <w:pPr>
        <w:pStyle w:val="Normal"/>
        <w:ind w:firstLine="708"/>
        <w:jc w:val="both"/>
        <w:rPr>
          <w:rFonts w:ascii="Times New Roman" w:hAnsi="Times New Roman"/>
        </w:rPr>
      </w:pPr>
      <w:r>
        <w:rPr>
          <w:rFonts w:ascii="Times New Roman" w:hAnsi="Times New Roman"/>
        </w:rPr>
        <w:t xml:space="preserve">     </w:t>
      </w:r>
    </w:p>
    <w:p>
      <w:pPr>
        <w:pStyle w:val="Normal"/>
        <w:jc w:val="both"/>
        <w:rPr>
          <w:rFonts w:ascii="Times New Roman" w:hAnsi="Times New Roman"/>
        </w:rPr>
      </w:pPr>
      <w:r>
        <w:rPr>
          <w:rFonts w:ascii="Times New Roman" w:hAnsi="Times New Roman"/>
        </w:rPr>
        <w:tab/>
        <w:t xml:space="preserve">Uvidom u Sporazum utvrđeno je da su stranke u čl. 4. dogovorili iznos otpremnine te da će radnik nakon prestanka radnog odnosa kod poslodavca čuvati poslovnu tajnu, sve povjerljive podatke poslodavca te posebno podatke o iznosu otpremnine. Ako radnik postupi protivno obvezi iz prethodnog stavka Sporazum da se smatra automatski raskinutim pa poslodavac ima pravo zahtijevati od radnika naknadu pretrpljene štete u visini dvostrukog iznosa otpremnine dogovorenog s radnikom. Člankom 5. istog Sporazuma radnici su se obvezali da neće potraživati veći iznos otpremnine od onog koji je naveden u čl. 4. Sporazuma te izjavili da nemaju nikakvih drugih tražbina prema tužitelju i ujedno se odrekli prava sudskim i drugim putem potraživati od tužitelja kao poslodavca bilo koji iznos tražbine iz ili u svezi s radnim odnosom.   </w:t>
      </w:r>
    </w:p>
    <w:p>
      <w:pPr>
        <w:pStyle w:val="Normal"/>
        <w:jc w:val="both"/>
        <w:rPr>
          <w:rFonts w:ascii="Times New Roman" w:hAnsi="Times New Roman"/>
        </w:rPr>
      </w:pPr>
      <w:r>
        <w:rPr>
          <w:rFonts w:ascii="Times New Roman" w:hAnsi="Times New Roman"/>
        </w:rPr>
      </w:r>
    </w:p>
    <w:p>
      <w:pPr>
        <w:pStyle w:val="Normal"/>
        <w:jc w:val="both"/>
        <w:rPr>
          <w:rFonts w:ascii="Times New Roman" w:hAnsi="Times New Roman"/>
        </w:rPr>
      </w:pPr>
      <w:r>
        <w:rPr>
          <w:rFonts w:ascii="Times New Roman" w:hAnsi="Times New Roman"/>
        </w:rPr>
        <w:tab/>
        <w:t xml:space="preserve">Svjedok Kristijan Cvijetović u bitnome je iskazao da je došao kod tužitelja nakon što je AUDIO preuzeo upravljanje i postavljen je kao predsjednik uprave. Njegov zadatak da je bio da provede restrukturiranje firme i privatizaciju i smanji broj zaposlenih. Iz tog razloga sačinjen je program zbrinjavanja viška radnika za šta je provedena cjelokupna zakonska procedura. Država-vlasnik je bila stava da radnicima koji su proglašeni viškom pripada samo zakonom propisana otpremnina jer je stav bio da je kolektivni ugovor prestao važiti, međutim kako bi ipak bili 100% sigurni program je sačinjen na način da bi otkazi trebali krenuti tek nakon prestanka važenja KU negdje u 11.mj. Međutim, oni su se odlučili na sporazumne otkaze i nešto veće otpremnine radnicima, s čime su i sindikati bili suglasni, a posebno jer su odlučili radnicima priznati u radni staž i cjelokupni staž u grupi 3 maja što im po zakonu inače ne bi pripadalo. Svi radnici koji ne bi pristali na takve sporazume dobili bi otkaz kao tehnološki višak sukladno programu zbrinjavanja i otpremninu po zakonu jer bi se za svaki slučaj da se izbjegne dilema sačekao istek KU. Sporazumni otkazi rađeni su u dogovoru sa sindikatom i RV, radnici ih nisu morali odmah potpisati već bi došli, pročitali, konzultirali se između sebe. Na kraju su svi ljudi koji su bili na listi potpisali sporazumne otkaze i svima je prestao radni odnos temeljem sporazuma i otkaza. Rok za isplatu po sporazumima je bio tri mjeseca u kojim rokovima je država trebala doznačiti sredstva, međutim kako su kasnile plaće tako su kasnile i uprave za te otpremnine. Točno je da je nakon toga došlo do sklapanja novog KU u kojem je otpremnina dogovorena na 6.400,00 kuna po godini staža s time da su oni na to pristali budući da više taj iznos otpremnine više nije bio bitan jer se nije moglo ponoviti ponovno otkazivanje i zbrinjavanje ljudi koje ne bi bilo povezano sa samim gašenjem firme. </w:t>
      </w:r>
    </w:p>
    <w:p>
      <w:pPr>
        <w:pStyle w:val="Normal"/>
        <w:ind w:firstLine="708"/>
        <w:jc w:val="both"/>
        <w:rPr>
          <w:rFonts w:ascii="Times New Roman" w:hAnsi="Times New Roman"/>
        </w:rPr>
      </w:pPr>
      <w:r>
        <w:rPr>
          <w:rFonts w:ascii="Times New Roman" w:hAnsi="Times New Roman"/>
        </w:rPr>
      </w:r>
    </w:p>
    <w:p>
      <w:pPr>
        <w:pStyle w:val="Normal"/>
        <w:ind w:firstLine="708"/>
        <w:jc w:val="both"/>
        <w:rPr>
          <w:rFonts w:ascii="Times New Roman" w:hAnsi="Times New Roman"/>
        </w:rPr>
      </w:pPr>
      <w:r>
        <w:rPr>
          <w:rFonts w:ascii="Times New Roman" w:hAnsi="Times New Roman"/>
        </w:rPr>
        <w:t>U svojem iskazu svjedokinja Bosiljka Zlojutro predsjednik Radničkog vijeća u spornom razdoblju i sindikalni povjerenik je navela kako je Radničko vijeće sudjelovalo u izradi Programa zbrinjavanja viška radnika tuženika te je bila upoznata sa svim elementima i fazama koje su se događale kod tuženika vezano za donošenje predmetnog Programa. U program su ušli radnici oglašeni viškom sa imenom i prezimenom, a poslodavac je uključivao RV i Sindikat na način da su sindikalni predstavnici obavještavali radnike o tome da se donosi Program, koji su kriteriji za donošenje programa i uvrštavanje radnika u isti, te je RV tražilo da se poštuju svi Zakonom predviđeni kriteriji kod odlučivanja koji će radnici biti uvršteni u program, a RV je izričito sugerirao radnicima da imaju pravo na materijalna prava predviđena KU za koje je RV smatralo da vrijedi. Radničko vijeće znalo je poimence za svakog radnika koji je bio uvršten u Program i radnici su bili obaviješteni o mogućnostima i kriterijima za oglašavanje viškom, bili su upoznati da će biti uvršteni u Program kao višak, radnicima je izričito sugerirano da imaju materijalna prava predviđena KU, a nitko od radnika uvrštenih u Program zbrinjavanja nije tražio zaštitu svojih prava od strane Sindikata ili RV. Poslodavac je prilikom donošenja Programa smatrao da se radnicima materijalna prava temelje na Zakonu o radu čemu se RV izričito protivio i imao je drugačije mišljenje i o čemu su radnici bili obaviješteni. Nakon što je donijet Program i znalo se koji su radnici uvršteni u isti započeo je postupak donošenja Odluke o otkazu ugovora o radu te se počelo pričati da tuženik nudi radnicima Sporazum o visini otpremnine. RV je izričito sugerirao radnicima da ne potpisuju takav Sporazum ali su radnici znali u kakvoj se financijskoj situaciji nalazi tuženik, znalo se da je tuženik u velikim poteškoćama i gubicima te su radnici bili svjesni da odlaskom u stečaj ne bi dobili materijalna prava u visini predviđenoj KU. Svjedokinja je također navela kako joj je poznato da su radnici oglašeni viškom istovremeno dobivali odluke o otkazu ugovora o radu i Sporazum o visini otpremnine te nisu tražili zaštitu niti mišljenje sindikata ili RV. Poznato joj je da je jedan radnik zatražio  zaštitu od predstavnika Radničkog vijeća nakon što je dobio odluku o otkazu ugovora o radu i Sporazum o visini otpremnine koje je uzeo sa sobom kući i navedene odluke donio kod tuženika naknadno. Zbog činjenice da ju je samo jedan radnik pitao da li može uzeti osporavane odluke smatra da drugi radnici nisu tražili takve mogućnosti. Svjedokinja je navela kako je kao predsjednik Radničkog vijeća savjetovala radnicima da ne potpisuju sporazume ali je to bila odluka svakog pojedinog radnika. Naime, radnici su znali u kojoj se situaciji nalazi tuženik, znali su što će se dogoditi ukoliko tuženik otiđe u stečaj i svaki radnik morao je osobno odlučiti da li želi potpisati Sporazum. Sporazum je najprije potpisao 40 radnika a nakon toga ostali radnici su se bojali da neće dobiti otpremninu koju im je nudio poslodavac te su svi potpisivali Sporazum. Svjedokinja je također navela kako su svi radnici tuženika bili obaviješteni o visini otpremnine koju je nudio poslodavac, jer se na sastancima RV razgovaralo o visini otpremnine u visini od 3.200,00 kn neto po navršenoj godini radnog staža kod tuženika a maksimalno u iznosu od 75.000,00 kn, na sastanku su bili prisutni svi predstavnici Sindikata, o sastancima je sačinjavan zapisnik koji je bio izvješten na 5 oglasnih ploča kod tuženika, a tijekom 2013.godine predstavnici Sindikata su redovito razgovarali sa svojim članovima te kako u tom razdoblju nije bilo posla, radnici su imali dovoljno vremena za okupljanje i za razgovor. Isto tako radnicima je bilo poznato da se Sindikat zalagao za isplatu otpremnine prema Granskom kolektivnom ugovoru i visini osnovice od 6.400,00 kn za svaku navršenu godinu radnog staža kod poslodavca bez maksimuma.</w:t>
      </w:r>
    </w:p>
    <w:p>
      <w:pPr>
        <w:pStyle w:val="Normal"/>
        <w:ind w:firstLine="708"/>
        <w:jc w:val="both"/>
        <w:rPr>
          <w:rFonts w:ascii="Times New Roman" w:hAnsi="Times New Roman"/>
        </w:rPr>
      </w:pPr>
      <w:r>
        <w:rPr>
          <w:rFonts w:ascii="Times New Roman" w:hAnsi="Times New Roman"/>
        </w:rPr>
      </w:r>
    </w:p>
    <w:p>
      <w:pPr>
        <w:pStyle w:val="Normal"/>
        <w:ind w:firstLine="708"/>
        <w:jc w:val="both"/>
        <w:rPr>
          <w:rFonts w:ascii="Times New Roman" w:hAnsi="Times New Roman"/>
        </w:rPr>
      </w:pPr>
      <w:r>
        <w:rPr>
          <w:rFonts w:ascii="Times New Roman" w:hAnsi="Times New Roman"/>
        </w:rPr>
        <w:t xml:space="preserve">Svjedok Ružica Ožbolt iskazala je da je bila prisutna kod potpisivanja Sporazuma i Odluka o otkazu, iste da su se potpisivale, zajedno, u prostoriji u neposrednoj blizini njenog ureda. Ona je bila zadužena da iste uruči radnicima koji su dolazili na potpisivanje. Radnici da su najčešće bili sami ili u društvu kolega kada su potpisivali predmetni Sporazum, nitko ih nije prisiljavao niti ih nagovarao. Neki bi potpisali odmah, neki su se vraćali, po par puta. Nisu mogli odnijeti primjerak prije nego ga potpišu, dogovarati se ako su bili više njih zajedno jer ih nitko nije nadzirao, mogli su ostati koliko su htjeli i proučavati ili se vratiti kasnije kada bi razmislili jer je sve trajalo više dana. </w:t>
      </w:r>
    </w:p>
    <w:p>
      <w:pPr>
        <w:pStyle w:val="Normal"/>
        <w:ind w:firstLine="708"/>
        <w:jc w:val="both"/>
        <w:rPr>
          <w:rFonts w:ascii="Times New Roman" w:hAnsi="Times New Roman"/>
        </w:rPr>
      </w:pPr>
      <w:r>
        <w:rPr>
          <w:rFonts w:ascii="Times New Roman" w:hAnsi="Times New Roman"/>
        </w:rPr>
      </w:r>
    </w:p>
    <w:p>
      <w:pPr>
        <w:pStyle w:val="Normal"/>
        <w:ind w:firstLine="708"/>
        <w:jc w:val="both"/>
        <w:rPr>
          <w:rFonts w:ascii="Times New Roman" w:hAnsi="Times New Roman"/>
        </w:rPr>
      </w:pPr>
      <w:r>
        <w:rPr>
          <w:rFonts w:ascii="Times New Roman" w:hAnsi="Times New Roman"/>
        </w:rPr>
        <w:t>Svjedok Gradimi Šain je iskazao u bitnom da su svi bili upoznati sa načinom izračuna otpremnina koje su se isplaćivale u sporazumu, a svima da je bilo u interesu da se potpišu jer je u programu zbrinjavanja bila otpremnina po zakonu. S obzirom na stanje u firmi i da je vrijedio kolektivni ugovor, a oni su bili stava da ne vrijedi nitko ne bi trebao dobiti otpremninu u tom iznosu jer se radilo o ogromnom novcu, jer je firma već tada bila u predstečaju i bilo je samo pitanje trenutka kada će otići u stečaj i radnici ostati bez ičega. Sva potpisivanja sporazuma bila su na dobrovoljnoj bazi i na kraju su svi radnici potpisali navedene sporazume i otkaze, ali da nisu to nikoga ne bi spasilo od otkaza već bi isti dobili otkaz sukladno predviđenom programu nakon isteka kolektivnog ugovora i dobili bi otpremninu po zakonu. I prije sačinjavanja programa zbrinjavanja 19 ljudi je sklopilo sporazume, ali po istoj formuli, isto nisu dobili otpremninu prema KU. Oni da su bili zadovoljni da su za radnike uspjeli izboriti i navedenu otpremninu jer je uputa RH bila da otpremnine budu minimalne, a sa čime su bili upoznati i sindikati i RV pa su zapravo svi bili zadovoljni dogovorom koji su uspjeli dobiti za sklapanje sporazuma. Isti je osporio da bi on na bilo koji način prijetio radnicima jer nije bio u poziciji da bilo kome prijeti jer je takva bila situacija da je on čak bio napadnut od radnik i morao je bježati. Što se tiče predmetnog maila radilo se o mailu koji je poslan rukovoditeljima radnika koji su bili dužni dalje izvijestiti radnike što će se dogoditi ako ne potpišu sporazum i isti nije bio upućen radnicima već rukovoditeljima, a isti je ukazivao samo na to da posla nema pa da će radnici koji ne potpišu morati biti poslani na čekanje.</w:t>
      </w:r>
    </w:p>
    <w:p>
      <w:pPr>
        <w:pStyle w:val="Normal"/>
        <w:ind w:firstLine="708"/>
        <w:jc w:val="both"/>
        <w:rPr>
          <w:rFonts w:ascii="Times New Roman" w:hAnsi="Times New Roman"/>
        </w:rPr>
      </w:pPr>
      <w:r>
        <w:rPr>
          <w:rFonts w:ascii="Times New Roman" w:hAnsi="Times New Roman"/>
        </w:rPr>
      </w:r>
    </w:p>
    <w:p>
      <w:pPr>
        <w:pStyle w:val="Normal"/>
        <w:ind w:firstLine="708"/>
        <w:jc w:val="both"/>
        <w:rPr>
          <w:rFonts w:ascii="Times New Roman" w:hAnsi="Times New Roman"/>
        </w:rPr>
      </w:pPr>
      <w:r>
        <w:rPr>
          <w:rFonts w:ascii="Times New Roman" w:hAnsi="Times New Roman"/>
        </w:rPr>
        <w:t xml:space="preserve">Iz iskaza svjedoka Vladimira Sabljaka u bitnome je utvrđeno da je isti bio povjerenik sindikata Istre i Kvarnera, da je bio upoznat sa pričom da KU više ne vrijedi što on nije smatrao točnim i oni su bili stava da KU i dalje vrijedi. Što se tiče pritiska na radnike da potpišu sporazume, radilo se više o psihičkom utjerivanju straha jer im je govoreno da ukoliko ne prihvate, da će ostati bez te mogućnosti te da će im preostati znatno manje otpremnine po zakonu. </w:t>
      </w:r>
    </w:p>
    <w:p>
      <w:pPr>
        <w:pStyle w:val="Normal"/>
        <w:ind w:firstLine="708"/>
        <w:jc w:val="both"/>
        <w:rPr>
          <w:rFonts w:ascii="Times New Roman" w:hAnsi="Times New Roman"/>
        </w:rPr>
      </w:pPr>
      <w:r>
        <w:rPr>
          <w:rFonts w:ascii="Times New Roman" w:hAnsi="Times New Roman"/>
        </w:rPr>
      </w:r>
    </w:p>
    <w:p>
      <w:pPr>
        <w:pStyle w:val="Normal"/>
        <w:ind w:firstLine="708"/>
        <w:jc w:val="both"/>
        <w:rPr>
          <w:rFonts w:ascii="Times New Roman" w:hAnsi="Times New Roman"/>
        </w:rPr>
      </w:pPr>
      <w:r>
        <w:rPr>
          <w:rFonts w:ascii="Times New Roman" w:hAnsi="Times New Roman"/>
        </w:rPr>
        <w:t xml:space="preserve">Svjedok Bosiljka Zlojutro povjerenik sindikata metalaca i predsjednica RV u bitnome je iskazala da su za program zbrinjavanja radnika oni proveli cjelokupnu propisanu proceduru. Kolektivni ugovor da je trebao isteći negdje u 10 ili 11 mj. te godine i oni su započeli već pregovore za novi. Ljudi da su se počeli sami prijavljivati na listu za višak i to oni koji su imali uvjete za mirovinu i iako su im oni savjetovali da ne potpisuju sporazume jedan broj ljudi je potpisao te ugovore jer im je to odgovaralo. Nakon što su ti potpisali došlo je do raspada sistema, radnici su počeli pojedinačno pregovarati sa poslodavcem i oni kao sindikat nisu više ništa mogli. Naime, situacija u firmi da je bila takva da bi i njih 80% što su ostali da su znali što ih posije čeka tada prihvatili te novce i otišli iz firme. Ljudi su od njih tražili da im kažu šta će biti ako firma propadne i ode u stečaj, a što je bila mogućnost. Dakle situacija je bila takva da su se morale donijeti određene odluke i svatko ih je donosio za sebe. Oni da su pratili koliko su mogli da radnici potpišu i otkaze i sporazume kako ne bi bilo oštećeni, pitali ih da li je sve u redu, da li su na nešto prisiljeni ali očito je bilo da je veći broj ljudi bilo zadovoljno navedenim sporazumom pa su neki čak i častili kada je sve završilo. Oni su čak i dali suglasnost na program koji je nudio 3.200,00 po godini staža i 75.000,00 kuna maksimalno, a to je bilo svima i poznato. </w:t>
      </w:r>
    </w:p>
    <w:p>
      <w:pPr>
        <w:pStyle w:val="Normal"/>
        <w:ind w:firstLine="708"/>
        <w:jc w:val="both"/>
        <w:rPr>
          <w:rFonts w:ascii="Times New Roman" w:hAnsi="Times New Roman"/>
        </w:rPr>
      </w:pPr>
      <w:r>
        <w:rPr>
          <w:rFonts w:ascii="Times New Roman" w:hAnsi="Times New Roman"/>
        </w:rPr>
      </w:r>
    </w:p>
    <w:p>
      <w:pPr>
        <w:pStyle w:val="Normal"/>
        <w:ind w:firstLine="708"/>
        <w:jc w:val="both"/>
        <w:rPr>
          <w:rFonts w:ascii="Times New Roman" w:hAnsi="Times New Roman"/>
        </w:rPr>
      </w:pPr>
      <w:r>
        <w:rPr>
          <w:rFonts w:ascii="Times New Roman" w:hAnsi="Times New Roman"/>
        </w:rPr>
        <w:t xml:space="preserve">Svjedok Nika Lamešić u bitnome je iskazao da je on povjerenik sindikata radnika Istre i kvarnera, da je bio upoznat sa tim da je direktor bio stava da ne priznaje KU i da isti ne vrijedi jer je to direktor Cvijetović iskazao na sastanku. Rečeno je da će maksimalne otpremnine biti 75.000,00 kuna. Oni su kao sindikat bili stava da KU vrijedi, te da bi otpremnine trebale biti sukladno KU 6.400,00 kuna po godini staža. Oni da su svojim članovima govorili da ništa ne potpisuju jer da KU važi međutim radnici su bili u strahu da će dobiti otpremninu duplo manju nego što im je nuđeno i svi su na kraju jedan po jedan potpisivali, iako su oni bili s njima u kontaktu neprekidno. Naime, prisila je bila psihička na način da su svi bili dovedeni u stanje da nemaju drugog izlaza. Što se tiče Murića on je osobno s njim u više navrata razgovarao i savjetovao mu da ne potpisuje sporazum, međutim radilo se o osobnoj odluci o kojoj je isti kao i drugi vodio računa o financijskoj situaciji u svojoj obitelji. Tužitelj mu je samo jedan dan došao i rekao da je popustio i da je potpisao. </w:t>
      </w:r>
    </w:p>
    <w:p>
      <w:pPr>
        <w:pStyle w:val="Normal"/>
        <w:ind w:firstLine="708"/>
        <w:jc w:val="both"/>
        <w:rPr>
          <w:rFonts w:ascii="Times New Roman" w:hAnsi="Times New Roman"/>
        </w:rPr>
      </w:pPr>
      <w:r>
        <w:rPr>
          <w:rFonts w:ascii="Times New Roman" w:hAnsi="Times New Roman"/>
        </w:rPr>
      </w:r>
    </w:p>
    <w:p>
      <w:pPr>
        <w:pStyle w:val="Normal"/>
        <w:ind w:firstLine="708"/>
        <w:jc w:val="both"/>
        <w:rPr>
          <w:rFonts w:ascii="Times New Roman" w:hAnsi="Times New Roman"/>
        </w:rPr>
      </w:pPr>
      <w:r>
        <w:rPr>
          <w:rFonts w:ascii="Times New Roman" w:hAnsi="Times New Roman"/>
        </w:rPr>
        <w:t>Svjedok Gordan Senić iskazao je da se on sam prijavio na listu tehnološkog viška dobrovoljno, pri čemu je računao da će otpremnine biti prema KU, međutim kasnije su krenule priče da neće dobiti tu otpremninu nego maksimalno 75.000,00 kuna, a reklo se da tko ne potpiše da više neće moći ući u firmu. On osobno da je pitao njihovu sindikalnu povjerenicu gđu Zlojutro koja mu je rekla da ona ne odstupa od KU. Oni su svi znali da se dobiva po godini staža 3.200,00 kuna, a maksimalno 75.000,00 kuna i na kraju kada je on pozvan na potpisivanje da se nakon razgovora sa suprugom na kraju ipak odlučio potpisati sporazum jer nije znao kakvu bi vrstu otkaza kasnije mogao dobiti i kolika će biti otpremnina. On je pokušao uzeti papire ali je rečeno da ih ne može dobiti, da se savjetuje s odvjetnikom već je dobio uputu da ih može potpisati samo tamo i da ih mora potpisati i otkaz i sporazum.</w:t>
      </w:r>
    </w:p>
    <w:p>
      <w:pPr>
        <w:pStyle w:val="Normal"/>
        <w:ind w:firstLine="708"/>
        <w:jc w:val="both"/>
        <w:rPr>
          <w:rFonts w:ascii="Times New Roman" w:hAnsi="Times New Roman"/>
        </w:rPr>
      </w:pPr>
      <w:r>
        <w:rPr>
          <w:rFonts w:ascii="Times New Roman" w:hAnsi="Times New Roman"/>
        </w:rPr>
      </w:r>
    </w:p>
    <w:p>
      <w:pPr>
        <w:pStyle w:val="Normal"/>
        <w:ind w:firstLine="708"/>
        <w:jc w:val="both"/>
        <w:rPr>
          <w:rFonts w:ascii="Times New Roman" w:hAnsi="Times New Roman"/>
        </w:rPr>
      </w:pPr>
      <w:r>
        <w:rPr>
          <w:rFonts w:ascii="Times New Roman" w:hAnsi="Times New Roman"/>
        </w:rPr>
        <w:t xml:space="preserve">Tužitelj Ibrahim Murić iskazao je da je prvi puta saznao da je na listi kada ga je o tome izvijestio njegov poslovođa gospodin Šuntić, možda negdje 7 dana prije 01.10. kada ga je pozvala tajnica Ružica. Ista mu je tada ponudila papire na potpis, mogao je iste pročitati u uredu do njene kancelarije (sale za sastanke). Kada je vidio da u je otpremnina upola manja od one od KU odlučio je da neće potpisati papire. Nakon toga konzultirao se sa povjerenikom Nikom Lamešićem i isti mu je potvrdio da ne potpisuje. Međutim zadnjeg dana u mjesecu 31.10. nakon što je u sali gdje marendaju izviješen mail u kojem se navodi da oni koji ne potpišu 01.11. neće više moći ući u firmu, odlučio se da će ipak potpisati navedeni sporazumni otkaz jer je to po njemu bila čista ucjena i diskriminacija jer bi on volio dobiti otpremninu kao Nika Lampešić koji nije potpisao sporazum. On je kasnije u novinama vidio da je u to vrijeme važio KU, a nakon što mu nije isplaćena otpremnina u roku otišao je kod odvjetnika, koji je potvrdio da je KU vrijedio, a oni da su prevareni. </w:t>
      </w:r>
    </w:p>
    <w:p>
      <w:pPr>
        <w:pStyle w:val="Normal"/>
        <w:ind w:firstLine="708"/>
        <w:jc w:val="both"/>
        <w:rPr>
          <w:rFonts w:ascii="Times New Roman" w:hAnsi="Times New Roman"/>
        </w:rPr>
      </w:pPr>
      <w:r>
        <w:rPr>
          <w:rFonts w:ascii="Times New Roman" w:hAnsi="Times New Roman"/>
        </w:rPr>
      </w:r>
    </w:p>
    <w:p>
      <w:pPr>
        <w:pStyle w:val="Normal"/>
        <w:ind w:firstLine="708"/>
        <w:jc w:val="both"/>
        <w:rPr>
          <w:rFonts w:ascii="Times New Roman" w:hAnsi="Times New Roman"/>
        </w:rPr>
      </w:pPr>
      <w:r>
        <w:rPr>
          <w:rFonts w:ascii="Times New Roman" w:hAnsi="Times New Roman"/>
        </w:rPr>
        <w:t>Iz iskaza saslušanih svjedoka kao i članova uprave tužitelja u spornom razdoblju a posebice iz iskaza svjedoka  Kristijana Cvijetović i Gradimira Šain, ovaj sud drži utvrđenim kako je tuženik izašao iz grupacije 3.Maj dana 03.05.2013.godine i postao samostalno društvo u isključivom vlasništvu države iz razloga što je bio u teškoj financijskoj situaciji, pogoni nisu radili, radnici su više od godinu dana bili bez posla a dobivali su plaću neredovito i sa zaostatkom, nije bilo ugovorenih poslova te je postojao problem viška radnika zbog čega je donijet plan restruktuiranja te je započeo postupak rješavanja pitanja viška radnika i donijet je Program zbrinjavanja viška radnika u kojem donošenju su sudjelovali sindikati i Radničko vijeće, o donošenju programa bio je upoznat Zavod za zapošljavanje, pokrenut je postupak predstečajne nagodbe koja je sklopljena u FINI, te je započeo postupak otkazivanja ugovora o radu radnika uvrštenih u program i postupak donošenja sporazuma o visini otpremnine za svakog pojedinog radnika, o čemu su bili obaviješteni Sindikat, Radničko vijeće i svi radnici putem svojih neposrednih rukovoditelja, o navedenoj situaciji pisali su mediji te su takve okolnosti bile poznate kako radnicima tako i medijima, nadležnim ministarstvima i poslovnim partnerima.</w:t>
      </w:r>
    </w:p>
    <w:p>
      <w:pPr>
        <w:pStyle w:val="Normal"/>
        <w:ind w:firstLine="708"/>
        <w:jc w:val="both"/>
        <w:rPr>
          <w:rFonts w:ascii="Times New Roman" w:hAnsi="Times New Roman"/>
        </w:rPr>
      </w:pPr>
      <w:r>
        <w:rPr>
          <w:rFonts w:ascii="Times New Roman" w:hAnsi="Times New Roman"/>
        </w:rPr>
      </w:r>
    </w:p>
    <w:p>
      <w:pPr>
        <w:pStyle w:val="Normal"/>
        <w:ind w:firstLine="708"/>
        <w:jc w:val="both"/>
        <w:rPr>
          <w:rFonts w:ascii="Times New Roman" w:hAnsi="Times New Roman"/>
        </w:rPr>
      </w:pPr>
      <w:r>
        <w:rPr>
          <w:rFonts w:ascii="Times New Roman" w:hAnsi="Times New Roman"/>
        </w:rPr>
        <w:t>Iz tako provedenog dokaznog postupka ovaj sud drži utvrđenim kako tužitelj nije dokazao pretpostavke predviđene odredbom čl. 279 st.1. ZOO-a tj da bi sporazum potpisao pod utjecajem psihičke ili fizičke prisile temeljem kojih bi Sporazum bio ništav i ne bi proizvodio pravne učinke glede odricanja od materijalnih prava iz radnog odnosa tužitelja.</w:t>
      </w:r>
    </w:p>
    <w:p>
      <w:pPr>
        <w:pStyle w:val="Normal"/>
        <w:ind w:firstLine="708"/>
        <w:jc w:val="both"/>
        <w:rPr>
          <w:rFonts w:ascii="Times New Roman" w:hAnsi="Times New Roman"/>
        </w:rPr>
      </w:pPr>
      <w:r>
        <w:rPr>
          <w:rFonts w:ascii="Times New Roman" w:hAnsi="Times New Roman"/>
        </w:rPr>
      </w:r>
    </w:p>
    <w:p>
      <w:pPr>
        <w:pStyle w:val="Normal"/>
        <w:ind w:firstLine="708"/>
        <w:jc w:val="both"/>
        <w:rPr>
          <w:rFonts w:ascii="Times New Roman" w:hAnsi="Times New Roman"/>
        </w:rPr>
      </w:pPr>
      <w:r>
        <w:rPr>
          <w:rFonts w:ascii="Times New Roman" w:hAnsi="Times New Roman"/>
        </w:rPr>
        <w:t xml:space="preserve"> </w:t>
      </w:r>
      <w:r>
        <w:rPr>
          <w:rFonts w:ascii="Times New Roman" w:hAnsi="Times New Roman"/>
        </w:rPr>
        <w:t>Naime tužitelj navodi da je sporazum potpisao pod prisilom, prijetnjom strahom. Valja naglasiti da se razlikuju dvije vrste prisile regulirane odredbama čl. 279. ZOO i to fizička sila te psihička prisila ili prijetnja. Kod fizičke sile (vis absoluta) se radi o upotrebi tjelesne prisile u trenutku davanja očitovanja volje (npr. nasilnim vođenjem ruke prilikom potpisivanja ugovora, fizičkim zlostavljanjem, nanošenjem tjelesnih ozljeda), a kod psihičke prisile (vis compulsiva) o vršenju pritiska na volju onoga koji daje očitovanje izazivanjem straha od buduće opasnosti koja će se dogoditi njemu ili trećoj osobi.</w:t>
      </w:r>
    </w:p>
    <w:p>
      <w:pPr>
        <w:pStyle w:val="Normal"/>
        <w:ind w:firstLine="708"/>
        <w:jc w:val="both"/>
        <w:rPr>
          <w:rFonts w:ascii="Times New Roman" w:hAnsi="Times New Roman"/>
        </w:rPr>
      </w:pPr>
      <w:r>
        <w:rPr>
          <w:rFonts w:ascii="Times New Roman" w:hAnsi="Times New Roman"/>
        </w:rPr>
      </w:r>
    </w:p>
    <w:p>
      <w:pPr>
        <w:pStyle w:val="Normal"/>
        <w:ind w:firstLine="708"/>
        <w:jc w:val="both"/>
        <w:rPr>
          <w:rFonts w:ascii="Times New Roman" w:hAnsi="Times New Roman"/>
        </w:rPr>
      </w:pPr>
      <w:r>
        <w:rPr>
          <w:rFonts w:ascii="Times New Roman" w:hAnsi="Times New Roman"/>
        </w:rPr>
        <w:t>Ugovor sklopljen uporabom sile prema ugovornoj strani ništetan, sukladno odredbi čl. 279. st. 3. ZOO. Pravo na isticanje ništetnosti nije ograničeno zakonskim rokovima i ne gasi se (čl. 328. ZOO). Međutim  iz provedenih dokaza ne proizlazi da bi bilo, bilo kakvih fizičkih nasrtaj tuženika na tužitelje prilikom potpisivanja ugovora, tj. da je ugovor sklopljen uporabom vis absoluta prema tužitelju, niti je sam tužitelji u činjeničnim navodima u tužbi ili u svom iskazu tako nešto naveo, niti svi dokazi koji su provedeni po prijedlogu tužitelja, uključujući i saslušanje svjedoka Lamešića,  Zlojutro, Sabljak,  i svjedokinje Ožbolt koja je bila sudionik u svim potpisivanjima ne upućuju na to da bi razlog zbog kojeg je tužitelj sklopio s tuženikom sporazum i zbog kojeg traže utvrđenje ništetnosti bila fizička prisila, pa čak niti koji drugi razlog zbog kojeg bi ugovor bio ništetan u smislu odredbe čl. 322. st. 1. ZOO, na što sud pazi i po službenoj dužnosti (čl. 327. st. 1. ZOO).</w:t>
      </w:r>
    </w:p>
    <w:p>
      <w:pPr>
        <w:pStyle w:val="Normal"/>
        <w:ind w:firstLine="708"/>
        <w:jc w:val="both"/>
        <w:rPr>
          <w:rFonts w:ascii="Times New Roman" w:hAnsi="Times New Roman"/>
          <w:b/>
          <w:b/>
        </w:rPr>
      </w:pPr>
      <w:r>
        <w:rPr>
          <w:rFonts w:ascii="Times New Roman" w:hAnsi="Times New Roman"/>
          <w:b/>
        </w:rPr>
      </w:r>
    </w:p>
    <w:p>
      <w:pPr>
        <w:pStyle w:val="Normal"/>
        <w:ind w:firstLine="708"/>
        <w:jc w:val="both"/>
        <w:rPr>
          <w:rFonts w:ascii="Times New Roman" w:hAnsi="Times New Roman"/>
        </w:rPr>
      </w:pPr>
      <w:r>
        <w:rPr>
          <w:rFonts w:ascii="Times New Roman" w:hAnsi="Times New Roman"/>
        </w:rPr>
        <w:t xml:space="preserve">Psihička prisila odnosno prijetnja predstavlja manu volje koja je razlog za poništenje ugovora sukladno odredbi čl. 279. st. 1. ZOO, i to samo ako je riječ o nedopuštenoj prijetnji, koja je izazvala opravdani strah kod druge ugovorne strane, tako da je ona zbog toga bila prisiljena sklopiti ugovor. Dakle, radi se o razlogu pobojnosti odnosno relativne ništetnosti ugovora, a relativno ništetni ugovori proizvode pravne učinke i obvezuju ugovorne strane sve dok se konstitutivnom odlukom suda ne ponište. </w:t>
      </w:r>
    </w:p>
    <w:p>
      <w:pPr>
        <w:pStyle w:val="Normal"/>
        <w:ind w:firstLine="708"/>
        <w:jc w:val="both"/>
        <w:rPr>
          <w:rFonts w:ascii="Times New Roman" w:hAnsi="Times New Roman"/>
        </w:rPr>
      </w:pPr>
      <w:r>
        <w:rPr>
          <w:rFonts w:ascii="Times New Roman" w:hAnsi="Times New Roman"/>
        </w:rPr>
      </w:r>
    </w:p>
    <w:p>
      <w:pPr>
        <w:pStyle w:val="Normal"/>
        <w:ind w:firstLine="708"/>
        <w:jc w:val="both"/>
        <w:rPr>
          <w:rFonts w:ascii="Times New Roman" w:hAnsi="Times New Roman"/>
        </w:rPr>
      </w:pPr>
      <w:r>
        <w:rPr>
          <w:rFonts w:ascii="Times New Roman" w:hAnsi="Times New Roman"/>
        </w:rPr>
        <w:t>Tužitelj se poziva i na  činjenicu da nije znao da je KU i dalje na snazi, jer da je znao da ne bi potpisao Sporazum, kao i da je bio pod psihičkom prisilom, što bi bio  razloge pobojnosti u smislu mana volje, međutim iz provedenih dokaza ne proizlazi da tužitelj nije bio upoznat sa činjenicom da Sindikat smatra da je KU na snazi, jer su to svim radnicima  izričito naglasili svjedoci Zlojutro i Sabljak, a svjedok Lamešić je to rekao u više navrata i to tužitelju osobno, te mu preporučio da ne potpisuje predmetni Sporazum. Dakle isti je bio upoznat sa činjenicom da predmetni KU po stavu Sindikata vrijedi, ali kako nitko radnicima nije mogao garantirati da će dobiti otkaze prije isteka KU i reći da li će otpremnine biti uopće isplaćene, jer je postojala realna mogućnost stečaja, svako je temeljem svojih osobnih uvjerenja i situacija donosio odluku o potpisivanju sporazuma. Stoga se tužitelj ne može  pozivati niti na prisilu, niti na zabludu, budući je temeljem informacija i mogućnosti koje je imao donio odluku o prihvaćanju sporazuma, pa ne postoje zakonski razlozi, niti za ništetnost niti pobojnost navedenog sporazuma. Osim toga tužitelju je za isticanje pobojnost protekao rok od 1 godine od saznanja jer je isti za sve te činjenice i okolnosti  na koje se poziva u  pogledu pobojnosti bio upoznat već kod zaključenja sporazuma 31.10.2013 godine, a tužbu je podnio 31.12.2014 godine dakle protekom više od 1 godine od saznanja.  Stoga suda drži utvrđenim  da tužitelj nije dokazao pretpostavke predviđene odredbom čl. 330. ZOO-a temeljem kojih bi Sporazum bio pobojan, a pored toga su mu i istekli rokovi za traženje pobojnosti pa je isti sporazum i da je bio pobojan konvaldirao.</w:t>
      </w:r>
    </w:p>
    <w:p>
      <w:pPr>
        <w:pStyle w:val="Normal"/>
        <w:ind w:firstLine="708"/>
        <w:jc w:val="both"/>
        <w:rPr>
          <w:rFonts w:ascii="Times New Roman" w:hAnsi="Times New Roman"/>
        </w:rPr>
      </w:pPr>
      <w:r>
        <w:rPr>
          <w:rFonts w:ascii="Times New Roman" w:hAnsi="Times New Roman"/>
        </w:rPr>
        <w:t xml:space="preserve"> </w:t>
      </w:r>
    </w:p>
    <w:p>
      <w:pPr>
        <w:pStyle w:val="Normal"/>
        <w:ind w:firstLine="708"/>
        <w:jc w:val="both"/>
        <w:rPr>
          <w:rFonts w:ascii="Times New Roman" w:hAnsi="Times New Roman"/>
        </w:rPr>
      </w:pPr>
      <w:r>
        <w:rPr>
          <w:rFonts w:ascii="Times New Roman" w:hAnsi="Times New Roman"/>
        </w:rPr>
        <w:t>Suda drži utvrđenim  da tužitelj nije dokazao  niti pretpostavke predviđene odredbom čl. 322. ZOO-a temeljem kojih bi Sporazum bio ništav i ne bi proizvodio pravne učinke glede odricanja od materijalnih prava iz radnog odnosa tužitelja, budući bi isti bio protivan  Ustavu Republike Hrvatske, prisilnim propisima ili moralu društva.</w:t>
      </w:r>
    </w:p>
    <w:p>
      <w:pPr>
        <w:pStyle w:val="Normal"/>
        <w:ind w:firstLine="708"/>
        <w:jc w:val="both"/>
        <w:rPr>
          <w:rFonts w:ascii="Times New Roman" w:hAnsi="Times New Roman"/>
        </w:rPr>
      </w:pPr>
      <w:r>
        <w:rPr>
          <w:rFonts w:ascii="Times New Roman" w:hAnsi="Times New Roman"/>
        </w:rPr>
      </w:r>
    </w:p>
    <w:p>
      <w:pPr>
        <w:pStyle w:val="Normal"/>
        <w:ind w:firstLine="708"/>
        <w:jc w:val="both"/>
        <w:rPr>
          <w:rFonts w:ascii="Times New Roman" w:hAnsi="Times New Roman"/>
        </w:rPr>
      </w:pPr>
      <w:r>
        <w:rPr>
          <w:rFonts w:ascii="Times New Roman" w:hAnsi="Times New Roman"/>
        </w:rPr>
        <w:t xml:space="preserve">Naime iz sadržaja odluke o redovitom otkazu ugovora o radu zbog poslovno uvjetovanog razloga i Sporazuma ovaj sud drži utvrđenim kako je  tužitelju prestao radni odnos temeljem Odluke o redovitom otkazu ugovora o radu zbog poslovno uvjetovanih razloga, s tim da je isti istog dana kada je potpisao zaprimanje Odluke o otkazu ugovora o radu  potpisao i Sporazum kojim je ugovorio iznos otpremnine. </w:t>
      </w:r>
    </w:p>
    <w:p>
      <w:pPr>
        <w:pStyle w:val="Normal"/>
        <w:ind w:firstLine="708"/>
        <w:jc w:val="both"/>
        <w:rPr>
          <w:rFonts w:ascii="Times New Roman" w:hAnsi="Times New Roman"/>
        </w:rPr>
      </w:pPr>
      <w:r>
        <w:rPr>
          <w:rFonts w:ascii="Times New Roman" w:hAnsi="Times New Roman"/>
        </w:rPr>
      </w:r>
    </w:p>
    <w:p>
      <w:pPr>
        <w:pStyle w:val="Normal"/>
        <w:ind w:firstLine="708"/>
        <w:jc w:val="both"/>
        <w:rPr>
          <w:rFonts w:ascii="Times New Roman" w:hAnsi="Times New Roman"/>
        </w:rPr>
      </w:pPr>
      <w:r>
        <w:rPr>
          <w:rFonts w:ascii="Times New Roman" w:hAnsi="Times New Roman"/>
        </w:rPr>
        <w:t>Iz istog proizlazi da je tužitelji u trenutku potpisivanja Odluka o otkazu u kojem se navodi da se Otpremnina određuje temeljem Sporazuma znao  koliko iznos otpremnine, te očito bio suglasan da mu se upravo toliki iznos otpremnine isplati, inače ne bi potpisao Odluku o otkazu i Sporazum. Naime, iz iskaza saslušanih svjedoka, nesumnjivo je utvrđeno da je tužitelj znao da  trenutno ne postoji mogućnost isplate većeg iznosa otpremnine, da je bio suglasan sa otkazom i iznosom otpremnine koji mu se nudi a posebno s obzirom nas činjenicu da bi mu po dovršetku postupka otkazivanja prema Programu zbrinjavanja bile isplaćene otpremnine temeljem ZR-a, a koje bi bile niže od ugovorenih, budući da bi do tada istekao KU za koji je tada  bilo upitno da li važi za tužitelja.</w:t>
      </w:r>
    </w:p>
    <w:p>
      <w:pPr>
        <w:pStyle w:val="Normal"/>
        <w:ind w:firstLine="708"/>
        <w:jc w:val="both"/>
        <w:rPr>
          <w:rFonts w:ascii="Times New Roman" w:hAnsi="Times New Roman"/>
        </w:rPr>
      </w:pPr>
      <w:r>
        <w:rPr>
          <w:rFonts w:ascii="Times New Roman" w:hAnsi="Times New Roman"/>
        </w:rPr>
      </w:r>
    </w:p>
    <w:p>
      <w:pPr>
        <w:pStyle w:val="Normal"/>
        <w:jc w:val="both"/>
        <w:rPr>
          <w:rFonts w:ascii="Times New Roman" w:hAnsi="Times New Roman"/>
        </w:rPr>
      </w:pPr>
      <w:r>
        <w:rPr>
          <w:rFonts w:ascii="Times New Roman" w:hAnsi="Times New Roman"/>
        </w:rPr>
        <w:tab/>
        <w:t>Pravo na otpremninu ima u smislu odredbe čl. 119. ZR-a radnik kojem poslodavac otkazuje ugovor o radu, pa prije otkaza ugovora o radu to pravo ne može nastati. Tražbina po osnovi otpremnine ne može ni dospjeti prije nego je otkazan ugovor o radu. Pitanje kada dospijeva obveza poslodavca na isplatu otpremnine radniku treba prosuđivati po općim pravilima obveznog prava, tj. prema odredbi čl. 173 ZOO-a, koji se primjenjuje u ovom slučaju. To znači da radnik nakon što mu je otkazan ugovor o radu može zahtijevati odmah ispunjenje obveze od strane poslodavca, odnosno istekom roka ako je određen. Mogućnost odricanja radnika od prava na otpremninu ne ovisi međutim od dospjelosti tražbine po osnovi otpremnine, jer je moguće i odricanje od tražbine koja nije još dospjela ako ona postoji. Nije moguće odricanje od prava kojeg još nema (koje nije nastalo). Određena osoba može se odreći nečega što ima (što joj pripada), a ne nečega što nema (što joj ne pripada). Budući je nastanak  prava na otpremninu u smislu čl. 119 ZR vezano uz otkaz ugovor o radu, ona ne može nastati prije nego je poslodavac otkazao ugovor o radu, pa se prije toga radnik ne može odreći prava na otpremninu jer tog prava još nema</w:t>
      </w:r>
    </w:p>
    <w:p>
      <w:pPr>
        <w:pStyle w:val="Normal"/>
        <w:ind w:firstLine="708"/>
        <w:jc w:val="both"/>
        <w:rPr>
          <w:rFonts w:ascii="Times New Roman" w:hAnsi="Times New Roman"/>
        </w:rPr>
      </w:pPr>
      <w:r>
        <w:rPr>
          <w:rFonts w:ascii="Times New Roman" w:hAnsi="Times New Roman"/>
        </w:rPr>
      </w:r>
    </w:p>
    <w:p>
      <w:pPr>
        <w:pStyle w:val="Normal"/>
        <w:ind w:firstLine="708"/>
        <w:jc w:val="both"/>
        <w:rPr>
          <w:rFonts w:ascii="Times New Roman" w:hAnsi="Times New Roman"/>
        </w:rPr>
      </w:pPr>
      <w:r>
        <w:rPr>
          <w:rFonts w:ascii="Times New Roman" w:hAnsi="Times New Roman"/>
        </w:rPr>
        <w:t>Zbog navedenog prema stavu ovog suda obveza plaćanja otpremnine dospjela je  za tužitelje danom primitka Odluka o otkazu ugovora o radu kojom se dogovorio da će iznos otpremnine ugovoriti  posebnim sporazumom. Istu odluku je zaprimio istog dana kada je i sklopio Sporazum kojim je sukladno odluci o otkazu ugovoren iznos otpremnine. Neosnovano tužitelj navodi da je otpremnina mogla dospjeti tek idućeg dana od otkaza ugovora o radu tj. 01. studenog 2013 godine, jer se i sam tužitelj u tužbi za isplatu kamate poziva da je otpremnina dospjela 31.10.2013 godine, te od tada obračunava i traži isplatu kamate, pa je očito tako i dogovoreno među strankama.</w:t>
      </w:r>
    </w:p>
    <w:p>
      <w:pPr>
        <w:pStyle w:val="Normal"/>
        <w:ind w:firstLine="708"/>
        <w:jc w:val="both"/>
        <w:rPr>
          <w:rFonts w:ascii="Times New Roman" w:hAnsi="Times New Roman"/>
        </w:rPr>
      </w:pPr>
      <w:r>
        <w:rPr>
          <w:rFonts w:ascii="Times New Roman" w:hAnsi="Times New Roman"/>
        </w:rPr>
      </w:r>
    </w:p>
    <w:p>
      <w:pPr>
        <w:pStyle w:val="Normal"/>
        <w:ind w:firstLine="708"/>
        <w:jc w:val="both"/>
        <w:rPr>
          <w:rFonts w:ascii="Times New Roman" w:hAnsi="Times New Roman"/>
        </w:rPr>
      </w:pPr>
      <w:r>
        <w:rPr>
          <w:rFonts w:ascii="Times New Roman" w:hAnsi="Times New Roman"/>
        </w:rPr>
        <w:t>Međutim, odricanje od prava na otpremninu treba,  razlikovati od ugovaranja visine otpremnine. Sporazum poslodavca i radnika o visini otpremnine predstavlja sporazum kojim se uređuje jedno od pitanja iz radnog odnosa, a koje može biti uređeno samim ugovorom o radu ili posebnim sporazumom (kao u ovom slučaju).  Radnik i poslodavac mogu ugovoriti otpremninu s tim da ugovoreni iznos otpremnine ne smije biti manji od onog propisanog odredbom čl. 119. st. 2. ZR.</w:t>
      </w:r>
    </w:p>
    <w:p>
      <w:pPr>
        <w:pStyle w:val="Normal"/>
        <w:ind w:firstLine="708"/>
        <w:jc w:val="both"/>
        <w:rPr>
          <w:rFonts w:ascii="Times New Roman" w:hAnsi="Times New Roman"/>
        </w:rPr>
      </w:pPr>
      <w:r>
        <w:rPr>
          <w:rFonts w:ascii="Times New Roman" w:hAnsi="Times New Roman"/>
        </w:rPr>
      </w:r>
    </w:p>
    <w:p>
      <w:pPr>
        <w:pStyle w:val="Normal"/>
        <w:ind w:firstLine="708"/>
        <w:jc w:val="both"/>
        <w:rPr>
          <w:rFonts w:ascii="Times New Roman" w:hAnsi="Times New Roman"/>
        </w:rPr>
      </w:pPr>
      <w:r>
        <w:rPr>
          <w:rFonts w:ascii="Times New Roman" w:hAnsi="Times New Roman"/>
        </w:rPr>
        <w:t xml:space="preserve">Ugovaranje otpremnine nije odricanje od prava na otpremninu, pa ni od dijela otpremnine, već samo dogovor  da je poslodavac u obvezi isplatiti otpremninu samo u visini koja je određena ugovorom između njega i radnika. Budući je u konkretnom slučaju  u pogledu prava na otpremninu bilo upitno da li je  kolektivnim ugovorom  isto bilo povoljnije za tužitelje u odnosu na Sporazum između njega i tuženika, u ugovoru o otkaz je bilo izričito određeno u točci 5. da će se otpremnina isplatiti prema sporazumu stranaka. </w:t>
      </w:r>
      <w:r>
        <w:rPr>
          <w:rFonts w:ascii="Times New Roman" w:hAnsi="Times New Roman"/>
          <w:shd w:fill="FFFFFF" w:val="clear"/>
        </w:rPr>
        <w:t>U takvoj situaciji za stranku ne postoje ograničenja glede međusobnog dogovaranja, pa nema zato više mjesta primjeni instituta najpovoljnijeg prava iz čl. 9. ZR.</w:t>
      </w:r>
    </w:p>
    <w:p>
      <w:pPr>
        <w:pStyle w:val="Normal"/>
        <w:ind w:firstLine="708"/>
        <w:jc w:val="both"/>
        <w:rPr>
          <w:rFonts w:ascii="Times New Roman" w:hAnsi="Times New Roman"/>
        </w:rPr>
      </w:pPr>
      <w:r>
        <w:rPr>
          <w:rFonts w:ascii="Times New Roman" w:hAnsi="Times New Roman"/>
        </w:rPr>
      </w:r>
    </w:p>
    <w:p>
      <w:pPr>
        <w:pStyle w:val="Normal"/>
        <w:ind w:firstLine="708"/>
        <w:jc w:val="both"/>
        <w:rPr>
          <w:rFonts w:ascii="Times New Roman" w:hAnsi="Times New Roman"/>
        </w:rPr>
      </w:pPr>
      <w:r>
        <w:rPr>
          <w:rFonts w:ascii="Times New Roman" w:hAnsi="Times New Roman"/>
        </w:rPr>
        <w:t>Tužitelj nije pobijao navedenu Odluku i ista je postala pravomoćna pa istome po stavu suda pripada otpremnina samo sukladno sporazumu stranaka, a posebno imajući u vidu da je isti bio dobro upoznati i suglasan sa visinom otpremnine, da su sa istim bili upoznati Sindikati i da su isti na to dali svoju suglasnost.</w:t>
      </w:r>
    </w:p>
    <w:p>
      <w:pPr>
        <w:pStyle w:val="Normal"/>
        <w:ind w:firstLine="708"/>
        <w:jc w:val="both"/>
        <w:rPr>
          <w:rFonts w:ascii="Times New Roman" w:hAnsi="Times New Roman"/>
        </w:rPr>
      </w:pPr>
      <w:r>
        <w:rPr>
          <w:rFonts w:ascii="Times New Roman" w:hAnsi="Times New Roman"/>
        </w:rPr>
      </w:r>
    </w:p>
    <w:p>
      <w:pPr>
        <w:pStyle w:val="Normal"/>
        <w:ind w:firstLine="708"/>
        <w:jc w:val="both"/>
        <w:rPr>
          <w:rFonts w:ascii="Times New Roman" w:hAnsi="Times New Roman"/>
        </w:rPr>
      </w:pPr>
      <w:r>
        <w:rPr>
          <w:rFonts w:ascii="Times New Roman" w:hAnsi="Times New Roman"/>
        </w:rPr>
        <w:t>Budući je sud utvrdio da Sporazum sklopljen između stranaka nije ništav,  niti pobojan te da je tužitelj sklopio valjani sporazum u pogledu isplate otpremnine valjalo je tužitelja odbiti i sa dijelom zahtjeva za isplatu preostalog dijela otpremnine, budući da za istu isplatu ne postoji valjana osnova.</w:t>
      </w:r>
    </w:p>
    <w:p>
      <w:pPr>
        <w:pStyle w:val="Normal"/>
        <w:ind w:firstLine="708"/>
        <w:jc w:val="both"/>
        <w:rPr>
          <w:rFonts w:ascii="Times New Roman" w:hAnsi="Times New Roman"/>
        </w:rPr>
      </w:pPr>
      <w:r>
        <w:rPr>
          <w:rFonts w:ascii="Times New Roman" w:hAnsi="Times New Roman"/>
        </w:rPr>
      </w:r>
    </w:p>
    <w:p>
      <w:pPr>
        <w:pStyle w:val="Normal"/>
        <w:ind w:firstLine="708"/>
        <w:jc w:val="both"/>
        <w:rPr>
          <w:rFonts w:ascii="Times New Roman" w:hAnsi="Times New Roman"/>
        </w:rPr>
      </w:pPr>
      <w:r>
        <w:rPr>
          <w:rFonts w:ascii="Times New Roman" w:hAnsi="Times New Roman"/>
        </w:rPr>
        <w:t>S obzirom na navedeno, primjenom odredbe čl. 8. i 221 ZPP-a odlučeno je kao u izreci presude te je sud odbio tužitelja s tim tužbenim zahtjevom u odnosu na tuženika kao neosnovanim.</w:t>
      </w:r>
    </w:p>
    <w:p>
      <w:pPr>
        <w:pStyle w:val="Normal"/>
        <w:ind w:firstLine="708"/>
        <w:jc w:val="both"/>
        <w:rPr>
          <w:rFonts w:ascii="Times New Roman" w:hAnsi="Times New Roman"/>
        </w:rPr>
      </w:pPr>
      <w:r>
        <w:rPr>
          <w:rFonts w:ascii="Times New Roman" w:hAnsi="Times New Roman"/>
        </w:rPr>
      </w:r>
    </w:p>
    <w:p>
      <w:pPr>
        <w:pStyle w:val="Normal"/>
        <w:ind w:firstLine="708"/>
        <w:jc w:val="both"/>
        <w:rPr>
          <w:rFonts w:ascii="Times New Roman" w:hAnsi="Times New Roman"/>
        </w:rPr>
      </w:pPr>
      <w:r>
        <w:rPr>
          <w:rFonts w:ascii="Times New Roman" w:hAnsi="Times New Roman"/>
        </w:rPr>
        <w:t xml:space="preserve">  </w:t>
      </w:r>
      <w:r>
        <w:rPr>
          <w:rFonts w:ascii="Times New Roman" w:hAnsi="Times New Roman"/>
        </w:rPr>
        <w:t xml:space="preserve">Ostali navodi prema stavu ovog suda nisu bitni za donošenje odluke u ovoj pravnoj stvari te se sud na njih nije posebno osvrtao. </w:t>
      </w:r>
    </w:p>
    <w:p>
      <w:pPr>
        <w:pStyle w:val="Normal"/>
        <w:ind w:firstLine="708"/>
        <w:jc w:val="both"/>
        <w:rPr>
          <w:rFonts w:ascii="Times New Roman" w:hAnsi="Times New Roman"/>
        </w:rPr>
      </w:pPr>
      <w:r>
        <w:rPr>
          <w:rFonts w:ascii="Times New Roman" w:hAnsi="Times New Roman"/>
        </w:rPr>
      </w:r>
    </w:p>
    <w:p>
      <w:pPr>
        <w:pStyle w:val="Normal"/>
        <w:ind w:firstLine="708"/>
        <w:jc w:val="both"/>
        <w:rPr>
          <w:rFonts w:ascii="Times New Roman" w:hAnsi="Times New Roman"/>
        </w:rPr>
      </w:pPr>
      <w:r>
        <w:rPr>
          <w:rFonts w:ascii="Times New Roman" w:hAnsi="Times New Roman"/>
        </w:rPr>
        <w:t>U pogledu zahtjeva u predmetu P-2151/14 da ovaj sud je u cijelosti prihvatio utvrđenja o tome da je tužitelju kao zaposleniku tuženika radni odnos prestao temeljem Odluke o redovitom otkazu zbog poslovno uvjetovanih razloga od 31.10.2013., te mu je temeljem Sporazuma od 31.10.2013.godine pripala otpremnina u iznosu od 75.000,00 kn koja se trebala isplatiti u roku od tri mjeseca počev od dana prestanka radnog odnosa kod poslodavca a najkasnije do 31.01.2014.godine te da je ista isplaćena dana 11.04.2014.godine i 14.04. 2014 godine, a što je vidljivo iz uplate na tekući račun tužitelja,  kao i da nije sporno da bi zakonska zatezna kamata na ugovoreni iznos otpremnine za razdoblje od 31.01.2014.godine do isplate iznosila 1.772,04 kn.</w:t>
      </w:r>
    </w:p>
    <w:p>
      <w:pPr>
        <w:pStyle w:val="Normal"/>
        <w:ind w:firstLine="708"/>
        <w:jc w:val="both"/>
        <w:rPr>
          <w:rFonts w:ascii="Times New Roman" w:hAnsi="Times New Roman"/>
        </w:rPr>
      </w:pPr>
      <w:r>
        <w:rPr>
          <w:rFonts w:ascii="Times New Roman" w:hAnsi="Times New Roman"/>
        </w:rPr>
      </w:r>
    </w:p>
    <w:p>
      <w:pPr>
        <w:pStyle w:val="Normal"/>
        <w:ind w:firstLine="708"/>
        <w:jc w:val="both"/>
        <w:rPr>
          <w:rFonts w:ascii="Times New Roman" w:hAnsi="Times New Roman"/>
        </w:rPr>
      </w:pPr>
      <w:r>
        <w:rPr>
          <w:rFonts w:ascii="Times New Roman" w:hAnsi="Times New Roman"/>
        </w:rPr>
        <w:t>Stoga sud nije provodio posebne dokaze  na okolnost visine postavljenog tužbenog zahtjeva.</w:t>
      </w:r>
    </w:p>
    <w:p>
      <w:pPr>
        <w:pStyle w:val="Normal"/>
        <w:ind w:firstLine="708"/>
        <w:jc w:val="both"/>
        <w:rPr>
          <w:rFonts w:ascii="Times New Roman" w:hAnsi="Times New Roman"/>
        </w:rPr>
      </w:pPr>
      <w:r>
        <w:rPr>
          <w:rFonts w:ascii="Times New Roman" w:hAnsi="Times New Roman"/>
        </w:rPr>
      </w:r>
    </w:p>
    <w:p>
      <w:pPr>
        <w:pStyle w:val="Normal"/>
        <w:ind w:firstLine="708"/>
        <w:jc w:val="both"/>
        <w:rPr>
          <w:rFonts w:ascii="Times New Roman" w:hAnsi="Times New Roman"/>
        </w:rPr>
      </w:pPr>
      <w:r>
        <w:rPr>
          <w:rFonts w:ascii="Times New Roman" w:hAnsi="Times New Roman"/>
        </w:rPr>
        <w:t>Prema stavu suda u konkretnom slučaju primjenjuje se odredba čl. 29.st.1. Zakona o obveznim odnosima (NN 35/05)kojom je propisano da dužnik koji zakasni s ispunjenjem novčane obveze duguje pored glavnice i zatezne kamate.</w:t>
      </w:r>
    </w:p>
    <w:p>
      <w:pPr>
        <w:pStyle w:val="Normal"/>
        <w:jc w:val="both"/>
        <w:rPr>
          <w:rFonts w:ascii="Times New Roman" w:hAnsi="Times New Roman"/>
        </w:rPr>
      </w:pPr>
      <w:r>
        <w:rPr>
          <w:rFonts w:ascii="Times New Roman" w:hAnsi="Times New Roman"/>
        </w:rPr>
      </w:r>
    </w:p>
    <w:p>
      <w:pPr>
        <w:pStyle w:val="Normal"/>
        <w:ind w:firstLine="708"/>
        <w:jc w:val="both"/>
        <w:rPr>
          <w:rFonts w:ascii="Times New Roman" w:hAnsi="Times New Roman"/>
        </w:rPr>
      </w:pPr>
      <w:r>
        <w:rPr>
          <w:rFonts w:ascii="Times New Roman" w:hAnsi="Times New Roman"/>
        </w:rPr>
        <w:t>Kako nakon uvida u priležeću potvrdu o uplatama nije sporno da je tužitelju otpremnina isplaćena dana 11.04.2014.godine i 14.04.2014 godine, a da je temeljem Sporazuma od 31.10.2013.godine ugovoreno da se otpremnina u iznosu od 75.000,00 kn treba isplatiti u roku od 3 mjeseca počev od dana prestanka radnog odnosa kod poslodavca a najkasnije do 31.01.2014.godine, tuženik tužitelju duguje i zateznu kamatu na glavnicu obzirom da je došlo do zakašnjenja s ispunjenjem novčane obveze.</w:t>
      </w:r>
    </w:p>
    <w:p>
      <w:pPr>
        <w:pStyle w:val="Normal"/>
        <w:ind w:firstLine="708"/>
        <w:jc w:val="both"/>
        <w:rPr>
          <w:rFonts w:ascii="Times New Roman" w:hAnsi="Times New Roman"/>
        </w:rPr>
      </w:pPr>
      <w:r>
        <w:rPr>
          <w:rFonts w:ascii="Times New Roman" w:hAnsi="Times New Roman"/>
        </w:rPr>
      </w:r>
    </w:p>
    <w:p>
      <w:pPr>
        <w:pStyle w:val="Normal"/>
        <w:ind w:firstLine="708"/>
        <w:jc w:val="both"/>
        <w:rPr>
          <w:rFonts w:ascii="Times New Roman" w:hAnsi="Times New Roman"/>
        </w:rPr>
      </w:pPr>
      <w:r>
        <w:rPr>
          <w:rFonts w:ascii="Times New Roman" w:hAnsi="Times New Roman"/>
        </w:rPr>
        <w:t>Kako je tuženik učinio nespornim da bi visina zakonske zatezne kamate bila u iznosu od 1.772,04 kn sud je u cijelosti prihvatio tako postavljeni tužbeni zahtjev te je tužitelju dosudio zatraženi iznos i na isti dosudio i zakonsku zateznu kamatu u smislu odredbe čl.27. i 29. Zakona o obveznim odnosima počev od dana podnošenja tužbe  08.05.2014.godine do isplate kako je to tužitelj i zatražio.</w:t>
      </w:r>
    </w:p>
    <w:p>
      <w:pPr>
        <w:pStyle w:val="Normal"/>
        <w:ind w:firstLine="708"/>
        <w:jc w:val="both"/>
        <w:rPr>
          <w:rFonts w:ascii="Times New Roman" w:hAnsi="Times New Roman"/>
          <w:b/>
          <w:b/>
        </w:rPr>
      </w:pPr>
      <w:r>
        <w:rPr>
          <w:rFonts w:ascii="Times New Roman" w:hAnsi="Times New Roman"/>
          <w:b/>
        </w:rPr>
      </w:r>
    </w:p>
    <w:p>
      <w:pPr>
        <w:pStyle w:val="Normal"/>
        <w:ind w:firstLine="708"/>
        <w:jc w:val="both"/>
        <w:rPr>
          <w:rFonts w:ascii="Times New Roman" w:hAnsi="Times New Roman"/>
          <w:szCs w:val="20"/>
        </w:rPr>
      </w:pPr>
      <w:r>
        <w:rPr>
          <w:rFonts w:ascii="Times New Roman" w:hAnsi="Times New Roman"/>
          <w:lang w:eastAsia="en-US"/>
        </w:rPr>
        <w:t>Odluka o trošku postupka tuženiku  za predmet P-3124/2014 temelji se na odredbi čl. 154. st 1. u svezi s čl. 155 st. 2. ZPP-a, a tuženi</w:t>
      </w:r>
      <w:r>
        <w:rPr>
          <w:rFonts w:ascii="Times New Roman" w:hAnsi="Times New Roman"/>
        </w:rPr>
        <w:t>ku</w:t>
      </w:r>
      <w:r>
        <w:rPr>
          <w:rFonts w:ascii="Times New Roman" w:hAnsi="Times New Roman"/>
          <w:lang w:eastAsia="en-US"/>
        </w:rPr>
        <w:t xml:space="preserve"> je dosuđen trošak zastupanja po odvjetniku prema priloženom troškovniku u skladu Tarifom o nagradama i naknadi troškova za rad odvjetnika  time da je tuženiku dosuđen trošak</w:t>
      </w:r>
      <w:r>
        <w:rPr>
          <w:rFonts w:ascii="Times New Roman" w:hAnsi="Times New Roman"/>
        </w:rPr>
        <w:t xml:space="preserve"> i to </w:t>
      </w:r>
      <w:r>
        <w:rPr>
          <w:rFonts w:ascii="Times New Roman" w:hAnsi="Times New Roman"/>
          <w:lang w:eastAsia="en-US"/>
        </w:rPr>
        <w:t xml:space="preserve">sastava odgovora na tužbu </w:t>
      </w:r>
      <w:r>
        <w:rPr>
          <w:rFonts w:ascii="Times New Roman" w:hAnsi="Times New Roman"/>
        </w:rPr>
        <w:t xml:space="preserve">2.500,00 kuna Tbr. 8 OT-a; sastav 4 obrazložena podneska 4x2.500 i to 18. lipanj 2015.g., 21. travanj 2015. god., 11. prosinac 2015. godine, 07. lipanj 2016.g., </w:t>
      </w:r>
      <w:r>
        <w:rPr>
          <w:rFonts w:ascii="Times New Roman" w:hAnsi="Times New Roman"/>
          <w:lang w:eastAsia="en-US"/>
        </w:rPr>
        <w:t>(Tbr.8.t.1)</w:t>
      </w:r>
      <w:r>
        <w:rPr>
          <w:rFonts w:ascii="Times New Roman" w:hAnsi="Times New Roman"/>
        </w:rPr>
        <w:t>, sastav 2 ostala podneska 2x500 12. veljače 2015.g., 11.veljače 2015. god.</w:t>
      </w:r>
      <w:r>
        <w:rPr>
          <w:rFonts w:ascii="Times New Roman" w:hAnsi="Times New Roman"/>
          <w:lang w:eastAsia="en-US"/>
        </w:rPr>
        <w:t xml:space="preserve"> (Tbr.8.t.3)</w:t>
      </w:r>
      <w:r>
        <w:rPr>
          <w:rFonts w:ascii="Times New Roman" w:hAnsi="Times New Roman"/>
        </w:rPr>
        <w:t xml:space="preserve">, </w:t>
      </w:r>
      <w:r>
        <w:rPr>
          <w:rFonts w:ascii="Times New Roman" w:hAnsi="Times New Roman"/>
          <w:szCs w:val="20"/>
        </w:rPr>
        <w:t xml:space="preserve">pristupa na ročište od 24. travnja 2015.g., 14. prosinca 2015. godine i 12. travnja 2016. godine (3x2500,00 kuna Tbr. 9.tč. 1. OT-a), pristup na ročište 07. srpnja 2015. godine, 1.250,00 (Tbr. 9. tč. 2. OT-a) s pripadajućim PDV-om što iznosi 27.812,50 kuna. </w:t>
      </w:r>
    </w:p>
    <w:p>
      <w:pPr>
        <w:pStyle w:val="Normal"/>
        <w:ind w:firstLine="708"/>
        <w:jc w:val="both"/>
        <w:rPr>
          <w:rFonts w:ascii="Times New Roman" w:hAnsi="Times New Roman"/>
          <w:szCs w:val="20"/>
        </w:rPr>
      </w:pPr>
      <w:r>
        <w:rPr>
          <w:rFonts w:ascii="Times New Roman" w:hAnsi="Times New Roman"/>
          <w:szCs w:val="20"/>
        </w:rPr>
      </w:r>
    </w:p>
    <w:p>
      <w:pPr>
        <w:pStyle w:val="Normal"/>
        <w:ind w:firstLine="708"/>
        <w:jc w:val="both"/>
        <w:rPr>
          <w:rFonts w:ascii="Times New Roman" w:hAnsi="Times New Roman"/>
        </w:rPr>
      </w:pPr>
      <w:r>
        <w:rPr>
          <w:rFonts w:ascii="Times New Roman" w:hAnsi="Times New Roman"/>
          <w:lang w:eastAsia="en-US"/>
        </w:rPr>
        <w:t xml:space="preserve">Odluka o trošku postupka tužitelju za predmet P-2151/2014 temelji se na odredbi čl. 154 st 1. u svezi s čl. 155 st. 2. ZPP-a, a tužitelju je dosuđen trošak zastupanja po odvjetniku prema priloženom troškovniku u skladu Tarifom o nagradama i naknadi troškova za rad odvjetnika  za </w:t>
      </w:r>
      <w:r>
        <w:rPr>
          <w:rFonts w:ascii="Times New Roman" w:hAnsi="Times New Roman"/>
        </w:rPr>
        <w:t xml:space="preserve"> </w:t>
      </w:r>
      <w:r>
        <w:rPr>
          <w:rFonts w:ascii="Times New Roman" w:hAnsi="Times New Roman"/>
          <w:lang w:eastAsia="en-US"/>
        </w:rPr>
        <w:t xml:space="preserve">sastava odgovora na tužbu  </w:t>
      </w:r>
      <w:r>
        <w:rPr>
          <w:rFonts w:ascii="Times New Roman" w:hAnsi="Times New Roman"/>
        </w:rPr>
        <w:t>250,00 kuna</w:t>
      </w:r>
      <w:r>
        <w:rPr>
          <w:rFonts w:ascii="Times New Roman" w:hAnsi="Times New Roman"/>
          <w:szCs w:val="20"/>
        </w:rPr>
        <w:t xml:space="preserve"> pripadajućim PDV-om što iznosi 312,50 kuna.</w:t>
      </w:r>
    </w:p>
    <w:p>
      <w:pPr>
        <w:pStyle w:val="Normal"/>
        <w:ind w:firstLine="708"/>
        <w:jc w:val="both"/>
        <w:rPr>
          <w:rFonts w:ascii="Times New Roman" w:hAnsi="Times New Roman"/>
        </w:rPr>
      </w:pPr>
      <w:r>
        <w:rPr>
          <w:rFonts w:ascii="Times New Roman" w:hAnsi="Times New Roman"/>
        </w:rPr>
      </w:r>
    </w:p>
    <w:p>
      <w:pPr>
        <w:pStyle w:val="Normal"/>
        <w:ind w:firstLine="708"/>
        <w:jc w:val="center"/>
        <w:rPr>
          <w:rFonts w:ascii="Times New Roman" w:hAnsi="Times New Roman"/>
        </w:rPr>
      </w:pPr>
      <w:r>
        <w:rPr>
          <w:rFonts w:ascii="Times New Roman" w:hAnsi="Times New Roman"/>
        </w:rPr>
        <w:t>U Rijeci, 27. ožujak 2017. godine</w:t>
      </w:r>
    </w:p>
    <w:p>
      <w:pPr>
        <w:pStyle w:val="Normal"/>
        <w:jc w:val="both"/>
        <w:rPr>
          <w:rFonts w:ascii="Times New Roman" w:hAnsi="Times New Roman"/>
        </w:rPr>
      </w:pPr>
      <w:r>
        <w:rPr>
          <w:rFonts w:ascii="Times New Roman" w:hAnsi="Times New Roman"/>
        </w:rPr>
      </w:r>
    </w:p>
    <w:p>
      <w:pPr>
        <w:pStyle w:val="Normal"/>
        <w:jc w:val="both"/>
        <w:rPr>
          <w:rFonts w:ascii="Times New Roman" w:hAnsi="Times New Roman"/>
        </w:rPr>
      </w:pPr>
      <w:r>
        <w:rPr>
          <w:rFonts w:ascii="Times New Roman" w:hAnsi="Times New Roman"/>
        </w:rPr>
      </w:r>
    </w:p>
    <w:p>
      <w:pPr>
        <w:pStyle w:val="Normal"/>
        <w:jc w:val="both"/>
        <w:rPr>
          <w:rFonts w:ascii="Times New Roman" w:hAnsi="Times New Roman"/>
          <w:b/>
          <w:b/>
        </w:rPr>
      </w:pPr>
      <w:r>
        <w:rPr>
          <w:rFonts w:ascii="Times New Roman" w:hAnsi="Times New Roman"/>
        </w:rPr>
        <w:tab/>
        <w:tab/>
        <w:tab/>
        <w:tab/>
        <w:tab/>
        <w:tab/>
        <w:tab/>
      </w:r>
      <w:r>
        <w:rPr>
          <w:rFonts w:ascii="Times New Roman" w:hAnsi="Times New Roman"/>
          <w:b/>
        </w:rPr>
        <w:t xml:space="preserve">        </w:t>
        <w:tab/>
        <w:tab/>
        <w:tab/>
        <w:t>S U D A C:</w:t>
      </w:r>
    </w:p>
    <w:p>
      <w:pPr>
        <w:pStyle w:val="Normal"/>
        <w:jc w:val="both"/>
        <w:rPr>
          <w:rFonts w:ascii="Times New Roman" w:hAnsi="Times New Roman"/>
          <w:b/>
          <w:b/>
        </w:rPr>
      </w:pPr>
      <w:r>
        <w:rPr>
          <w:rFonts w:ascii="Times New Roman" w:hAnsi="Times New Roman"/>
          <w:b/>
        </w:rPr>
        <w:tab/>
        <w:tab/>
        <w:tab/>
        <w:tab/>
        <w:tab/>
        <w:tab/>
        <w:tab/>
        <w:t xml:space="preserve">   </w:t>
      </w:r>
    </w:p>
    <w:p>
      <w:pPr>
        <w:pStyle w:val="Normal"/>
        <w:jc w:val="both"/>
        <w:rPr>
          <w:rFonts w:ascii="Times New Roman" w:hAnsi="Times New Roman"/>
          <w:b/>
          <w:b/>
        </w:rPr>
      </w:pPr>
      <w:r>
        <w:rPr>
          <w:rFonts w:ascii="Times New Roman" w:hAnsi="Times New Roman"/>
          <w:b/>
        </w:rPr>
        <w:t xml:space="preserve">                                                            </w:t>
      </w:r>
      <w:r>
        <w:rPr>
          <w:rFonts w:ascii="Times New Roman" w:hAnsi="Times New Roman"/>
          <w:b/>
        </w:rPr>
        <w:tab/>
        <w:tab/>
        <w:t xml:space="preserve">      </w:t>
        <w:tab/>
        <w:tab/>
        <w:t xml:space="preserve">      Majda Felker, v.r.</w:t>
      </w:r>
    </w:p>
    <w:p>
      <w:pPr>
        <w:pStyle w:val="Normal"/>
        <w:ind w:firstLine="360"/>
        <w:jc w:val="both"/>
        <w:rPr>
          <w:rFonts w:ascii="Times New Roman" w:hAnsi="Times New Roman"/>
          <w:b/>
          <w:b/>
        </w:rPr>
      </w:pPr>
      <w:r>
        <w:rPr>
          <w:rFonts w:ascii="Times New Roman" w:hAnsi="Times New Roman"/>
          <w:b/>
        </w:rPr>
      </w:r>
    </w:p>
    <w:p>
      <w:pPr>
        <w:pStyle w:val="Normal"/>
        <w:ind w:firstLine="360"/>
        <w:jc w:val="both"/>
        <w:rPr>
          <w:rFonts w:ascii="Times New Roman" w:hAnsi="Times New Roman"/>
          <w:b/>
          <w:b/>
        </w:rPr>
      </w:pPr>
      <w:r>
        <w:rPr>
          <w:rFonts w:ascii="Times New Roman" w:hAnsi="Times New Roman"/>
          <w:b/>
        </w:rPr>
      </w:r>
    </w:p>
    <w:p>
      <w:pPr>
        <w:pStyle w:val="Normal"/>
        <w:ind w:firstLine="360"/>
        <w:jc w:val="both"/>
        <w:rPr>
          <w:rFonts w:ascii="Times New Roman" w:hAnsi="Times New Roman"/>
          <w:b/>
          <w:b/>
        </w:rPr>
      </w:pPr>
      <w:r>
        <w:rPr>
          <w:rFonts w:ascii="Times New Roman" w:hAnsi="Times New Roman"/>
          <w:b/>
        </w:rPr>
      </w:r>
    </w:p>
    <w:p>
      <w:pPr>
        <w:pStyle w:val="TextBody"/>
        <w:ind w:firstLine="708"/>
        <w:rPr>
          <w:rFonts w:ascii="Times New Roman" w:hAnsi="Times New Roman"/>
          <w:b/>
          <w:b/>
        </w:rPr>
      </w:pPr>
      <w:r>
        <w:rPr>
          <w:rFonts w:ascii="Times New Roman" w:hAnsi="Times New Roman"/>
          <w:b/>
        </w:rPr>
        <w:t>UPUTA O PRAVNOM LIJEKU:</w:t>
      </w:r>
    </w:p>
    <w:p>
      <w:pPr>
        <w:pStyle w:val="TextBody"/>
        <w:rPr>
          <w:rFonts w:ascii="Times New Roman" w:hAnsi="Times New Roman"/>
          <w:b/>
          <w:b/>
        </w:rPr>
      </w:pPr>
      <w:r>
        <w:rPr>
          <w:rFonts w:ascii="Times New Roman" w:hAnsi="Times New Roman"/>
          <w:b/>
        </w:rPr>
      </w:r>
    </w:p>
    <w:p>
      <w:pPr>
        <w:pStyle w:val="TextBody"/>
        <w:ind w:firstLine="720"/>
        <w:rPr>
          <w:rFonts w:ascii="Times New Roman" w:hAnsi="Times New Roman"/>
        </w:rPr>
      </w:pPr>
      <w:r>
        <w:rPr>
          <w:rFonts w:ascii="Times New Roman" w:hAnsi="Times New Roman"/>
        </w:rPr>
        <w:t xml:space="preserve">Protiv ove presude može se podnijeti žalba u roku od </w:t>
      </w:r>
      <w:r>
        <w:rPr>
          <w:rFonts w:ascii="Times New Roman" w:hAnsi="Times New Roman"/>
          <w:b/>
        </w:rPr>
        <w:t>8</w:t>
      </w:r>
      <w:r>
        <w:rPr>
          <w:rFonts w:ascii="Times New Roman" w:hAnsi="Times New Roman"/>
        </w:rPr>
        <w:t xml:space="preserve"> </w:t>
      </w:r>
      <w:r>
        <w:rPr>
          <w:rFonts w:ascii="Times New Roman" w:hAnsi="Times New Roman"/>
          <w:b/>
        </w:rPr>
        <w:t>dana</w:t>
      </w:r>
      <w:r>
        <w:rPr>
          <w:rFonts w:ascii="Times New Roman" w:hAnsi="Times New Roman"/>
        </w:rPr>
        <w:t xml:space="preserve"> od dana primitka  ovjerenog prijepisa iste.</w:t>
      </w:r>
    </w:p>
    <w:p>
      <w:pPr>
        <w:pStyle w:val="TextBody"/>
        <w:ind w:firstLine="720"/>
        <w:rPr>
          <w:rFonts w:ascii="Times New Roman" w:hAnsi="Times New Roman"/>
        </w:rPr>
      </w:pPr>
      <w:r>
        <w:rPr>
          <w:rFonts w:ascii="Times New Roman" w:hAnsi="Times New Roman"/>
        </w:rPr>
      </w:r>
    </w:p>
    <w:p>
      <w:pPr>
        <w:pStyle w:val="TextBody"/>
        <w:ind w:firstLine="720"/>
        <w:rPr>
          <w:rFonts w:ascii="Times New Roman" w:hAnsi="Times New Roman"/>
          <w:b/>
          <w:b/>
        </w:rPr>
      </w:pPr>
      <w:r>
        <w:rPr>
          <w:rFonts w:ascii="Times New Roman" w:hAnsi="Times New Roman"/>
        </w:rPr>
        <w:t xml:space="preserve">Žalba se podnosi u </w:t>
      </w:r>
      <w:r>
        <w:rPr>
          <w:rFonts w:ascii="Times New Roman" w:hAnsi="Times New Roman"/>
          <w:b/>
        </w:rPr>
        <w:t xml:space="preserve">tri </w:t>
      </w:r>
      <w:r>
        <w:rPr>
          <w:rFonts w:ascii="Times New Roman" w:hAnsi="Times New Roman"/>
        </w:rPr>
        <w:t xml:space="preserve">istovjetna primjerka putem ovog suda, a o žalbi odlučuje nadležni </w:t>
      </w:r>
      <w:r>
        <w:rPr>
          <w:rFonts w:ascii="Times New Roman" w:hAnsi="Times New Roman"/>
          <w:b/>
        </w:rPr>
        <w:t>Županijski sud.</w:t>
      </w:r>
    </w:p>
    <w:p>
      <w:pPr>
        <w:pStyle w:val="TextBody"/>
        <w:ind w:firstLine="720"/>
        <w:rPr>
          <w:rFonts w:ascii="Times New Roman" w:hAnsi="Times New Roman"/>
          <w:b/>
          <w:b/>
        </w:rPr>
      </w:pPr>
      <w:r>
        <w:rPr>
          <w:rFonts w:ascii="Times New Roman" w:hAnsi="Times New Roman"/>
          <w:b/>
        </w:rPr>
      </w:r>
    </w:p>
    <w:p>
      <w:pPr>
        <w:pStyle w:val="TextBody"/>
        <w:ind w:firstLine="720"/>
        <w:rPr>
          <w:rFonts w:ascii="Times New Roman" w:hAnsi="Times New Roman"/>
        </w:rPr>
      </w:pPr>
      <w:r>
        <w:rPr>
          <w:rFonts w:ascii="Times New Roman" w:hAnsi="Times New Roman"/>
        </w:rPr>
      </w:r>
    </w:p>
    <w:p>
      <w:pPr>
        <w:pStyle w:val="Normal"/>
        <w:jc w:val="both"/>
        <w:rPr>
          <w:rFonts w:ascii="Times New Roman" w:hAnsi="Times New Roman"/>
        </w:rPr>
      </w:pPr>
      <w:r>
        <w:rPr>
          <w:rFonts w:ascii="Times New Roman" w:hAnsi="Times New Roman"/>
        </w:rPr>
      </w:r>
    </w:p>
    <w:p>
      <w:pPr>
        <w:pStyle w:val="Normal"/>
        <w:jc w:val="both"/>
        <w:rPr>
          <w:rFonts w:ascii="Times New Roman" w:hAnsi="Times New Roman"/>
        </w:rPr>
      </w:pPr>
      <w:r>
        <w:rPr>
          <w:rFonts w:ascii="Times New Roman" w:hAnsi="Times New Roman"/>
        </w:rPr>
      </w:r>
    </w:p>
    <w:p>
      <w:pPr>
        <w:pStyle w:val="Normal"/>
        <w:jc w:val="both"/>
        <w:rPr>
          <w:rFonts w:ascii="Times New Roman" w:hAnsi="Times New Roman"/>
        </w:rPr>
      </w:pPr>
      <w:r>
        <w:rPr>
          <w:rFonts w:ascii="Times New Roman" w:hAnsi="Times New Roman"/>
        </w:rPr>
      </w:r>
    </w:p>
    <w:p>
      <w:pPr>
        <w:pStyle w:val="Normal"/>
        <w:jc w:val="both"/>
        <w:rPr>
          <w:rFonts w:ascii="Times New Roman" w:hAnsi="Times New Roman"/>
        </w:rPr>
      </w:pPr>
      <w:r>
        <w:rPr>
          <w:rFonts w:ascii="Times New Roman" w:hAnsi="Times New Roman"/>
        </w:rPr>
        <w:t>RJ</w:t>
      </w:r>
    </w:p>
    <w:p>
      <w:pPr>
        <w:pStyle w:val="Normal"/>
        <w:numPr>
          <w:ilvl w:val="0"/>
          <w:numId w:val="1"/>
        </w:numPr>
        <w:rPr>
          <w:rFonts w:ascii="Times New Roman" w:hAnsi="Times New Roman"/>
        </w:rPr>
      </w:pPr>
      <w:r>
        <w:rPr>
          <w:rFonts w:ascii="Times New Roman" w:hAnsi="Times New Roman"/>
        </w:rPr>
        <w:t>presuda nepravomoćna</w:t>
      </w:r>
    </w:p>
    <w:p>
      <w:pPr>
        <w:pStyle w:val="Normal"/>
        <w:numPr>
          <w:ilvl w:val="0"/>
          <w:numId w:val="1"/>
        </w:numPr>
        <w:rPr>
          <w:rFonts w:ascii="Times New Roman" w:hAnsi="Times New Roman"/>
        </w:rPr>
      </w:pPr>
      <w:r>
        <w:rPr>
          <w:rFonts w:ascii="Times New Roman" w:hAnsi="Times New Roman"/>
        </w:rPr>
        <w:t>vidi upisnik «P»</w:t>
      </w:r>
    </w:p>
    <w:p>
      <w:pPr>
        <w:pStyle w:val="Normal"/>
        <w:numPr>
          <w:ilvl w:val="0"/>
          <w:numId w:val="1"/>
        </w:numPr>
        <w:rPr>
          <w:rFonts w:ascii="Times New Roman" w:hAnsi="Times New Roman"/>
        </w:rPr>
      </w:pPr>
      <w:r>
        <w:rPr>
          <w:rFonts w:ascii="Times New Roman" w:hAnsi="Times New Roman"/>
        </w:rPr>
        <w:t>kal. do pravomoćnosti</w:t>
      </w:r>
    </w:p>
    <w:p>
      <w:pPr>
        <w:pStyle w:val="Normal"/>
        <w:rPr>
          <w:rFonts w:ascii="Times New Roman" w:hAnsi="Times New Roman"/>
        </w:rPr>
      </w:pPr>
      <w:r>
        <w:rPr>
          <w:rFonts w:ascii="Times New Roman" w:hAnsi="Times New Roman"/>
        </w:rPr>
      </w:r>
    </w:p>
    <w:p>
      <w:pPr>
        <w:pStyle w:val="Normal"/>
        <w:rPr>
          <w:rFonts w:ascii="Times New Roman" w:hAnsi="Times New Roman"/>
        </w:rPr>
      </w:pPr>
      <w:r>
        <w:rPr>
          <w:rFonts w:ascii="Times New Roman" w:hAnsi="Times New Roman"/>
        </w:rPr>
      </w:r>
    </w:p>
    <w:p>
      <w:pPr>
        <w:pStyle w:val="Normal"/>
        <w:rPr>
          <w:rFonts w:ascii="Times New Roman" w:hAnsi="Times New Roman"/>
        </w:rPr>
      </w:pPr>
      <w:r>
        <w:rPr>
          <w:rFonts w:ascii="Times New Roman" w:hAnsi="Times New Roman"/>
        </w:rPr>
        <w:t>PRISTOJBE</w:t>
      </w:r>
    </w:p>
    <w:p>
      <w:pPr>
        <w:pStyle w:val="Normal"/>
        <w:rPr>
          <w:rFonts w:ascii="Times New Roman" w:hAnsi="Times New Roman"/>
        </w:rPr>
      </w:pPr>
      <w:r>
        <w:rPr>
          <w:rFonts w:ascii="Times New Roman" w:hAnsi="Times New Roman"/>
        </w:rPr>
      </w:r>
    </w:p>
    <w:p>
      <w:pPr>
        <w:pStyle w:val="Normal"/>
        <w:rPr>
          <w:rFonts w:ascii="Times New Roman" w:hAnsi="Times New Roman"/>
        </w:rPr>
      </w:pPr>
      <w:r>
        <w:rPr>
          <w:rFonts w:ascii="Times New Roman" w:hAnsi="Times New Roman"/>
        </w:rPr>
        <w:t xml:space="preserve">       </w:t>
      </w:r>
      <w:r>
        <w:rPr>
          <w:rFonts w:ascii="Times New Roman" w:hAnsi="Times New Roman"/>
        </w:rPr>
        <w:t>- tužitelj na tužbu  - oslobođen</w:t>
      </w:r>
    </w:p>
    <w:p>
      <w:pPr>
        <w:pStyle w:val="Normal"/>
        <w:rPr>
          <w:rFonts w:ascii="Times New Roman" w:hAnsi="Times New Roman"/>
        </w:rPr>
      </w:pPr>
      <w:r>
        <w:rPr>
          <w:rFonts w:ascii="Times New Roman" w:hAnsi="Times New Roman"/>
        </w:rPr>
        <w:t xml:space="preserve">       </w:t>
      </w:r>
      <w:r>
        <w:rPr>
          <w:rFonts w:ascii="Times New Roman" w:hAnsi="Times New Roman"/>
        </w:rPr>
        <w:t>- tužen uspio u sporu</w:t>
      </w:r>
    </w:p>
    <w:p>
      <w:pPr>
        <w:pStyle w:val="Normal"/>
        <w:rPr>
          <w:rFonts w:ascii="Times New Roman" w:hAnsi="Times New Roman"/>
        </w:rPr>
      </w:pPr>
      <w:r>
        <w:rPr>
          <w:rFonts w:ascii="Times New Roman" w:hAnsi="Times New Roman"/>
        </w:rPr>
      </w:r>
    </w:p>
    <w:p>
      <w:pPr>
        <w:pStyle w:val="Normal"/>
        <w:rPr>
          <w:rFonts w:ascii="Times New Roman" w:hAnsi="Times New Roman"/>
        </w:rPr>
      </w:pPr>
      <w:r>
        <w:rPr>
          <w:rFonts w:ascii="Times New Roman" w:hAnsi="Times New Roman"/>
        </w:rPr>
      </w:r>
    </w:p>
    <w:p>
      <w:pPr>
        <w:pStyle w:val="Normal"/>
        <w:rPr>
          <w:rFonts w:ascii="Times New Roman" w:hAnsi="Times New Roman"/>
        </w:rPr>
      </w:pPr>
      <w:r>
        <w:rPr>
          <w:rFonts w:ascii="Times New Roman" w:hAnsi="Times New Roman"/>
        </w:rPr>
        <w:t xml:space="preserve">U Rijeci, 27. ožujak 2017. godine  </w:t>
      </w:r>
    </w:p>
    <w:p>
      <w:pPr>
        <w:pStyle w:val="Normal"/>
        <w:rPr>
          <w:rFonts w:ascii="Times New Roman" w:hAnsi="Times New Roman"/>
        </w:rPr>
      </w:pPr>
      <w:r>
        <w:rPr>
          <w:rFonts w:ascii="Times New Roman" w:hAnsi="Times New Roman"/>
        </w:rPr>
      </w:r>
    </w:p>
    <w:p>
      <w:pPr>
        <w:pStyle w:val="Normal"/>
        <w:rPr>
          <w:rFonts w:ascii="Times New Roman" w:hAnsi="Times New Roman"/>
        </w:rPr>
      </w:pPr>
      <w:r>
        <w:rPr>
          <w:rFonts w:ascii="Times New Roman" w:hAnsi="Times New Roman"/>
        </w:rPr>
      </w:r>
    </w:p>
    <w:p>
      <w:pPr>
        <w:pStyle w:val="Normal"/>
        <w:rPr>
          <w:rFonts w:ascii="Times New Roman" w:hAnsi="Times New Roman"/>
        </w:rPr>
      </w:pPr>
      <w:r>
        <w:rPr>
          <w:rFonts w:ascii="Times New Roman" w:hAnsi="Times New Roman"/>
        </w:rPr>
      </w:r>
    </w:p>
    <w:p>
      <w:pPr>
        <w:pStyle w:val="Normal"/>
        <w:rPr>
          <w:rFonts w:ascii="Times New Roman" w:hAnsi="Times New Roman"/>
        </w:rPr>
      </w:pPr>
      <w:r>
        <w:rPr>
          <w:rFonts w:ascii="Times New Roman" w:hAnsi="Times New Roman"/>
        </w:rPr>
      </w:r>
    </w:p>
    <w:p>
      <w:pPr>
        <w:pStyle w:val="Normal"/>
        <w:rPr/>
      </w:pPr>
      <w:r>
        <w:rPr>
          <w:rFonts w:ascii="Times New Roman" w:hAnsi="Times New Roman"/>
        </w:rPr>
        <w:tab/>
        <w:tab/>
        <w:tab/>
        <w:tab/>
        <w:tab/>
        <w:tab/>
        <w:tab/>
        <w:tab/>
        <w:tab/>
        <w:tab/>
        <w:t>S U D A C:</w:t>
      </w:r>
    </w:p>
    <w:sectPr>
      <w:headerReference w:type="default" r:id="rId2"/>
      <w:type w:val="nextPage"/>
      <w:pgSz w:w="11906" w:h="16838"/>
      <w:pgMar w:left="1417" w:right="1417" w:header="708" w:top="1417" w:footer="0" w:bottom="1417"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Times New Roman">
    <w:charset w:val="ee"/>
    <w:family w:val="roman"/>
    <w:pitch w:val="variable"/>
  </w:font>
  <w:font w:name="Tahoma">
    <w:charset w:val="ee"/>
    <w:family w:val="roman"/>
    <w:pitch w:val="variable"/>
  </w:font>
  <w:font w:name="Liberation Sans">
    <w:altName w:val="Arial"/>
    <w:charset w:val="ee"/>
    <w:family w:val="swiss"/>
    <w:pitch w:val="variable"/>
  </w:font>
  <w:font w:name="Bookman Old Style">
    <w:charset w:val="ee"/>
    <w:family w:val="roman"/>
    <w:pitch w:val="variable"/>
  </w:font>
  <w:font w:name="Tahoma">
    <w:charset w:val="01"/>
    <w:family w:val="swiss"/>
    <w:pitch w:val="variable"/>
  </w:font>
  <w:font w:name="Courier New">
    <w:charset w:val="01"/>
    <w:family w:val="modern"/>
    <w:pitch w:val="fixed"/>
  </w:font>
  <w:font w:name="Wingdings">
    <w:charset w:val="02"/>
    <w:family w:val="auto"/>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jc w:val="right"/>
      <w:rPr>
        <w:rFonts w:ascii="Times New Roman" w:hAnsi="Times New Roman"/>
        <w:b/>
        <w:b/>
      </w:rPr>
    </w:pPr>
    <w:r>
      <w:rPr>
        <w:rFonts w:ascii="Times New Roman" w:hAnsi="Times New Roman"/>
        <w:b/>
      </w:rPr>
      <w:t xml:space="preserve">Posl. br. 31 P-3124/14-28 </w:t>
    </w:r>
    <w:r>
      <mc:AlternateContent>
        <mc:Choice Requires="wps">
          <w:drawing>
            <wp:anchor behindDoc="0" distT="0" distB="0" distL="0" distR="0" simplePos="0" locked="0" layoutInCell="1" allowOverlap="1" relativeHeight="16">
              <wp:simplePos x="0" y="0"/>
              <wp:positionH relativeFrom="margin">
                <wp:align>center</wp:align>
              </wp:positionH>
              <wp:positionV relativeFrom="paragraph">
                <wp:posOffset>635</wp:posOffset>
              </wp:positionV>
              <wp:extent cx="214630" cy="184150"/>
              <wp:effectExtent l="0" t="0" r="0" b="0"/>
              <wp:wrapSquare wrapText="largest"/>
              <wp:docPr id="1" name="Frame1"/>
              <a:graphic xmlns:a="http://schemas.openxmlformats.org/drawingml/2006/main">
                <a:graphicData uri="http://schemas.microsoft.com/office/word/2010/wordprocessingShape">
                  <wps:wsp>
                    <wps:cNvSpPr txBox="1"/>
                    <wps:spPr>
                      <a:xfrm>
                        <a:off x="0" y="0"/>
                        <a:ext cx="214630" cy="184150"/>
                      </a:xfrm>
                      <a:prstGeom prst="rect"/>
                      <a:solidFill>
                        <a:srgbClr val="FFFFFF">
                          <a:alpha val="0"/>
                        </a:srgbClr>
                      </a:solidFill>
                    </wps:spPr>
                    <wps:txbx>
                      <w:txbxContent>
                        <w:p>
                          <w:pPr>
                            <w:pStyle w:val="Header"/>
                            <w:pBdr/>
                            <w:rPr/>
                          </w:pPr>
                          <w:r>
                            <w:rPr>
                              <w:rStyle w:val="Pagenumber"/>
                            </w:rPr>
                            <w:fldChar w:fldCharType="begin"/>
                          </w:r>
                          <w:r>
                            <w:rPr>
                              <w:rStyle w:val="Pagenumber"/>
                            </w:rPr>
                            <w:instrText> PAGE </w:instrText>
                          </w:r>
                          <w:r>
                            <w:rPr>
                              <w:rStyle w:val="Pagenumber"/>
                            </w:rPr>
                            <w:fldChar w:fldCharType="separate"/>
                          </w:r>
                          <w:r>
                            <w:rPr>
                              <w:rStyle w:val="Pagenumber"/>
                            </w:rPr>
                            <w:t>16</w:t>
                          </w:r>
                          <w:r>
                            <w:rPr>
                              <w:rStyle w:val="Pagenumber"/>
                            </w:rPr>
                            <w:fldChar w:fldCharType="end"/>
                          </w:r>
                          <w:r>
                            <w:rPr>
                              <w:rStyle w:val="Pagenumber"/>
                            </w:rPr>
                            <w:t xml:space="preserve"> </w:t>
                          </w:r>
                        </w:p>
                      </w:txbxContent>
                    </wps:txbx>
                    <wps:bodyPr anchor="t" lIns="0" tIns="0" rIns="0" bIns="0">
                      <a:spAutoFit/>
                    </wps:bodyPr>
                  </wps:wsp>
                </a:graphicData>
              </a:graphic>
            </wp:anchor>
          </w:drawing>
        </mc:Choice>
        <mc:Fallback>
          <w:pict>
            <v:rect fillcolor="#FFFFFF" style="position:absolute;rotation:0;width:16.9pt;height:14.5pt;mso-wrap-distance-left:0pt;mso-wrap-distance-right:0pt;mso-wrap-distance-top:0pt;mso-wrap-distance-bottom:0pt;margin-top:0.05pt;mso-position-vertical-relative:text;margin-left:218.35pt;mso-position-horizontal:center;mso-position-horizontal-relative:margin">
              <v:fill opacity="0f"/>
              <v:textbox inset="0in,0in,0in,0in">
                <w:txbxContent>
                  <w:p>
                    <w:pPr>
                      <w:pStyle w:val="Header"/>
                      <w:pBdr/>
                      <w:rPr/>
                    </w:pPr>
                    <w:r>
                      <w:rPr>
                        <w:rStyle w:val="Pagenumber"/>
                      </w:rPr>
                      <w:fldChar w:fldCharType="begin"/>
                    </w:r>
                    <w:r>
                      <w:rPr>
                        <w:rStyle w:val="Pagenumber"/>
                      </w:rPr>
                      <w:instrText> PAGE </w:instrText>
                    </w:r>
                    <w:r>
                      <w:rPr>
                        <w:rStyle w:val="Pagenumber"/>
                      </w:rPr>
                      <w:fldChar w:fldCharType="separate"/>
                    </w:r>
                    <w:r>
                      <w:rPr>
                        <w:rStyle w:val="Pagenumber"/>
                      </w:rPr>
                      <w:t>16</w:t>
                    </w:r>
                    <w:r>
                      <w:rPr>
                        <w:rStyle w:val="Pagenumber"/>
                      </w:rPr>
                      <w:fldChar w:fldCharType="end"/>
                    </w:r>
                    <w:r>
                      <w:rPr>
                        <w:rStyle w:val="Pagenumber"/>
                      </w:rPr>
                      <w:t xml:space="preserve"> </w:t>
                    </w:r>
                  </w:p>
                </w:txbxContent>
              </v:textbox>
              <w10:wrap type="square" side="largest"/>
            </v:rect>
          </w:pict>
        </mc:Fallback>
      </mc:AlternateContent>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720"/>
        </w:tabs>
        <w:ind w:left="720" w:hanging="360"/>
      </w:pPr>
      <w:rPr>
        <w:rFonts w:ascii="Tahoma" w:hAnsi="Tahoma" w:cs="Tahoma" w:hint="default"/>
        <w:rFonts w:cs="Tahoma"/>
      </w:rPr>
    </w:lvl>
    <w:lvl w:ilvl="1">
      <w:start w:val="1"/>
      <w:numFmt w:val="bullet"/>
      <w:lvlText w:val="o"/>
      <w:lvlJc w:val="left"/>
      <w:pPr>
        <w:tabs>
          <w:tab w:val="num" w:pos="1440"/>
        </w:tabs>
        <w:ind w:left="1440" w:hanging="360"/>
      </w:pPr>
      <w:rPr>
        <w:rFonts w:ascii="Courier New" w:hAnsi="Courier New" w:cs="Courier New" w:hint="default"/>
        <w:rFonts w:cs="Courier New"/>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Fonts w:cs="Courier New"/>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Fonts w:cs="Courier New"/>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hr-H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hr-HR" w:eastAsia="hr-HR" w:bidi="ar-SA"/>
      </w:rPr>
    </w:rPrDefault>
    <w:pPrDefault>
      <w:pPr/>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1">
    <w:name w:val="Normal"/>
    <w:qFormat/>
    <w:pPr>
      <w:widowControl/>
      <w:bidi w:val="0"/>
      <w:jc w:val="left"/>
    </w:pPr>
    <w:rPr>
      <w:rFonts w:ascii="Tahoma" w:hAnsi="Tahoma" w:eastAsia="Times New Roman" w:cs="Times New Roman"/>
      <w:color w:val="auto"/>
      <w:kern w:val="0"/>
      <w:sz w:val="24"/>
      <w:szCs w:val="24"/>
      <w:lang w:val="hr-HR" w:eastAsia="hr-HR" w:bidi="ar-SA"/>
    </w:rPr>
  </w:style>
  <w:style w:type="character" w:styleId="DefaultParagraphFont" w:default="1">
    <w:name w:val="Default Paragraph Font"/>
    <w:uiPriority w:val="1"/>
    <w:semiHidden/>
    <w:unhideWhenUsed/>
    <w:qFormat/>
    <w:rPr/>
  </w:style>
  <w:style w:type="character" w:styleId="Pagenumber">
    <w:name w:val="page number"/>
    <w:basedOn w:val="DefaultParagraphFont"/>
    <w:qFormat/>
    <w:rsid w:val="00511aa9"/>
    <w:rPr/>
  </w:style>
  <w:style w:type="character" w:styleId="Inverse1" w:customStyle="1">
    <w:name w:val="inverse1"/>
    <w:basedOn w:val="DefaultParagraphFont"/>
    <w:qFormat/>
    <w:rsid w:val="0090501a"/>
    <w:rPr>
      <w:color w:val="003399"/>
      <w:sz w:val="18"/>
      <w:szCs w:val="18"/>
      <w:shd w:fill="FFFF00" w:val="clear"/>
    </w:rPr>
  </w:style>
  <w:style w:type="character" w:styleId="InternetLink">
    <w:name w:val="Internet Link"/>
    <w:basedOn w:val="DefaultParagraphFont"/>
    <w:rsid w:val="005c089d"/>
    <w:rPr>
      <w:color w:val="0000FF"/>
      <w:u w:val="single"/>
    </w:rPr>
  </w:style>
  <w:style w:type="character" w:styleId="TekstbaloniaChar" w:customStyle="1">
    <w:name w:val="Tekst balončića Char"/>
    <w:basedOn w:val="DefaultParagraphFont"/>
    <w:link w:val="Tekstbalonia"/>
    <w:qFormat/>
    <w:rsid w:val="00ba5191"/>
    <w:rPr>
      <w:rFonts w:ascii="Tahoma" w:hAnsi="Tahoma" w:cs="Tahoma"/>
      <w:sz w:val="16"/>
      <w:szCs w:val="16"/>
    </w:rPr>
  </w:style>
  <w:style w:type="character" w:styleId="St" w:customStyle="1">
    <w:name w:val="st"/>
    <w:qFormat/>
    <w:rsid w:val="002e0a51"/>
    <w:rPr/>
  </w:style>
  <w:style w:type="character" w:styleId="PlaceholderText">
    <w:name w:val="Placeholder Text"/>
    <w:basedOn w:val="DefaultParagraphFont"/>
    <w:uiPriority w:val="99"/>
    <w:semiHidden/>
    <w:qFormat/>
    <w:rsid w:val="0014725e"/>
    <w:rPr>
      <w:color w:val="808080"/>
      <w:shd w:fill="CCFFFF" w:val="clear"/>
    </w:rPr>
  </w:style>
  <w:style w:type="character" w:styleId="ESPISCCParagraphDefaultFont" w:customStyle="1">
    <w:name w:val="eSPIS_CC_Paragraph Default Font"/>
    <w:basedOn w:val="DefaultParagraphFont"/>
    <w:qFormat/>
    <w:rsid w:val="0014725e"/>
    <w:rPr>
      <w:rFonts w:ascii="Times New Roman" w:hAnsi="Times New Roman" w:cs="Times New Roman"/>
      <w:sz w:val="24"/>
      <w:shd w:fill="auto" w:val="clear"/>
      <w:lang w:val="hr-HR"/>
    </w:rPr>
  </w:style>
  <w:style w:type="character" w:styleId="PozadinaSvijetloZuta" w:customStyle="1">
    <w:name w:val="Pozadina_SvijetloZuta"/>
    <w:basedOn w:val="DefaultParagraphFont"/>
    <w:qFormat/>
    <w:rsid w:val="0014725e"/>
    <w:rPr>
      <w:rFonts w:ascii="Times New Roman" w:hAnsi="Times New Roman"/>
      <w:shd w:fill="FFFFCC" w:val="clear"/>
      <w:lang w:val="hr-HR"/>
    </w:rPr>
  </w:style>
  <w:style w:type="character" w:styleId="PozadinaSvijetloCrvena" w:customStyle="1">
    <w:name w:val="Pozadina_SvijetloCrvena"/>
    <w:basedOn w:val="ESPISCCParagraphDefaultFont"/>
    <w:qFormat/>
    <w:rsid w:val="0014725e"/>
    <w:rPr>
      <w:rFonts w:ascii="Times New Roman" w:hAnsi="Times New Roman" w:cs="Times New Roman"/>
      <w:sz w:val="24"/>
      <w:shd w:fill="FFCCCC" w:val="clear"/>
      <w:lang w:val="hr-HR"/>
    </w:rPr>
  </w:style>
  <w:style w:type="character" w:styleId="PozadinaSvijetloZelena" w:customStyle="1">
    <w:name w:val="Pozadina_SvijetloZelena"/>
    <w:basedOn w:val="ESPISCCParagraphDefaultFont"/>
    <w:qFormat/>
    <w:rsid w:val="0014725e"/>
    <w:rPr>
      <w:rFonts w:ascii="Times New Roman" w:hAnsi="Times New Roman" w:cs="Times New Roman"/>
      <w:sz w:val="24"/>
      <w:shd w:fill="CCFFCC" w:val="clear"/>
      <w:lang w:val="hr-HR"/>
    </w:rPr>
  </w:style>
  <w:style w:type="character" w:styleId="ListLabel1">
    <w:name w:val="ListLabel 1"/>
    <w:qFormat/>
    <w:rPr>
      <w:rFonts w:ascii="Times New Roman" w:hAnsi="Times New Roman" w:eastAsia="Times New Roman" w:cs="Tahoma"/>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rFonts w:cs="Courier New"/>
    </w:rPr>
  </w:style>
  <w:style w:type="character" w:styleId="ListLabel5">
    <w:name w:val="ListLabel 5"/>
    <w:qFormat/>
    <w:rPr>
      <w:b/>
    </w:rPr>
  </w:style>
  <w:style w:type="character" w:styleId="ListLabel6">
    <w:name w:val="ListLabel 6"/>
    <w:qFormat/>
    <w:rPr>
      <w:b/>
    </w:rPr>
  </w:style>
  <w:style w:type="character" w:styleId="ListLabel7">
    <w:name w:val="ListLabel 7"/>
    <w:qFormat/>
    <w:rPr>
      <w:b/>
    </w:rPr>
  </w:style>
  <w:style w:type="character" w:styleId="ListLabel8">
    <w:name w:val="ListLabel 8"/>
    <w:qFormat/>
    <w:rPr>
      <w:b/>
    </w:rPr>
  </w:style>
  <w:style w:type="character" w:styleId="ListLabel9">
    <w:name w:val="ListLabel 9"/>
    <w:qFormat/>
    <w:rPr>
      <w:b/>
    </w:rPr>
  </w:style>
  <w:style w:type="character" w:styleId="ListLabel10">
    <w:name w:val="ListLabel 10"/>
    <w:qFormat/>
    <w:rPr>
      <w:b/>
    </w:rPr>
  </w:style>
  <w:style w:type="character" w:styleId="ListLabel11">
    <w:name w:val="ListLabel 11"/>
    <w:qFormat/>
    <w:rPr>
      <w:b/>
    </w:rPr>
  </w:style>
  <w:style w:type="character" w:styleId="ListLabel12">
    <w:name w:val="ListLabel 12"/>
    <w:qFormat/>
    <w:rPr>
      <w:b/>
    </w:rPr>
  </w:style>
  <w:style w:type="character" w:styleId="ListLabel13">
    <w:name w:val="ListLabel 13"/>
    <w:qFormat/>
    <w:rPr>
      <w:b w:val="false"/>
    </w:rPr>
  </w:style>
  <w:style w:type="character" w:styleId="ListLabel14">
    <w:name w:val="ListLabel 14"/>
    <w:qFormat/>
    <w:rPr>
      <w:b/>
    </w:rPr>
  </w:style>
  <w:style w:type="character" w:styleId="ListLabel15">
    <w:name w:val="ListLabel 15"/>
    <w:qFormat/>
    <w:rPr>
      <w:b/>
    </w:rPr>
  </w:style>
  <w:style w:type="character" w:styleId="ListLabel16">
    <w:name w:val="ListLabel 16"/>
    <w:qFormat/>
    <w:rPr>
      <w:b/>
    </w:rPr>
  </w:style>
  <w:style w:type="character" w:styleId="ListLabel17">
    <w:name w:val="ListLabel 17"/>
    <w:qFormat/>
    <w:rPr>
      <w:b/>
    </w:rPr>
  </w:style>
  <w:style w:type="character" w:styleId="ListLabel18">
    <w:name w:val="ListLabel 18"/>
    <w:qFormat/>
    <w:rPr>
      <w:b/>
    </w:rPr>
  </w:style>
  <w:style w:type="character" w:styleId="ListLabel19">
    <w:name w:val="ListLabel 19"/>
    <w:qFormat/>
    <w:rPr>
      <w:b/>
    </w:rPr>
  </w:style>
  <w:style w:type="character" w:styleId="ListLabel20">
    <w:name w:val="ListLabel 20"/>
    <w:qFormat/>
    <w:rPr>
      <w:b/>
    </w:rPr>
  </w:style>
  <w:style w:type="character" w:styleId="ListLabel21">
    <w:name w:val="ListLabel 21"/>
    <w:qFormat/>
    <w:rPr>
      <w:b/>
    </w:rPr>
  </w:style>
  <w:style w:type="character" w:styleId="ListLabel22">
    <w:name w:val="ListLabel 22"/>
    <w:qFormat/>
    <w:rPr>
      <w:rFonts w:eastAsia="Times New Roman" w:cs="Tahoma"/>
    </w:rPr>
  </w:style>
  <w:style w:type="character" w:styleId="ListLabel23">
    <w:name w:val="ListLabel 23"/>
    <w:qFormat/>
    <w:rPr>
      <w:rFonts w:cs="Courier New"/>
    </w:rPr>
  </w:style>
  <w:style w:type="character" w:styleId="ListLabel24">
    <w:name w:val="ListLabel 24"/>
    <w:qFormat/>
    <w:rPr>
      <w:rFonts w:cs="Courier New"/>
    </w:rPr>
  </w:style>
  <w:style w:type="character" w:styleId="ListLabel25">
    <w:name w:val="ListLabel 25"/>
    <w:qFormat/>
    <w:rPr>
      <w:rFonts w:cs="Courier New"/>
    </w:rPr>
  </w:style>
  <w:style w:type="character" w:styleId="ListLabel26">
    <w:name w:val="ListLabel 26"/>
    <w:qFormat/>
    <w:rPr>
      <w:b/>
    </w:rPr>
  </w:style>
  <w:style w:type="paragraph" w:styleId="Heading">
    <w:name w:val="Heading"/>
    <w:basedOn w:val="Normal"/>
    <w:next w:val="TextBody"/>
    <w:qFormat/>
    <w:pPr>
      <w:keepNext w:val="true"/>
      <w:spacing w:before="240" w:after="120"/>
    </w:pPr>
    <w:rPr>
      <w:rFonts w:ascii="Liberation Sans" w:hAnsi="Liberation Sans" w:eastAsia="Microsoft YaHei" w:cs="Mangal"/>
      <w:sz w:val="28"/>
      <w:szCs w:val="28"/>
    </w:rPr>
  </w:style>
  <w:style w:type="paragraph" w:styleId="TextBody">
    <w:name w:val="Body Text"/>
    <w:basedOn w:val="Normal"/>
    <w:rsid w:val="000925af"/>
    <w:pPr>
      <w:jc w:val="both"/>
    </w:pPr>
    <w:rPr>
      <w:rFonts w:ascii="Bookman Old Style" w:hAnsi="Bookman Old Style"/>
      <w:lang w:eastAsia="en-US"/>
    </w:rPr>
  </w:style>
  <w:style w:type="paragraph" w:styleId="List">
    <w:name w:val="List"/>
    <w:basedOn w:val="TextBody"/>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Index">
    <w:name w:val="Index"/>
    <w:basedOn w:val="Normal"/>
    <w:qFormat/>
    <w:pPr>
      <w:suppressLineNumbers/>
    </w:pPr>
    <w:rPr>
      <w:rFonts w:cs="Mangal"/>
    </w:rPr>
  </w:style>
  <w:style w:type="paragraph" w:styleId="Header">
    <w:name w:val="Header"/>
    <w:basedOn w:val="Normal"/>
    <w:rsid w:val="00511aa9"/>
    <w:pPr>
      <w:tabs>
        <w:tab w:val="clear" w:pos="708"/>
        <w:tab w:val="center" w:pos="4536" w:leader="none"/>
        <w:tab w:val="right" w:pos="9072" w:leader="none"/>
      </w:tabs>
    </w:pPr>
    <w:rPr/>
  </w:style>
  <w:style w:type="paragraph" w:styleId="Footer">
    <w:name w:val="Footer"/>
    <w:basedOn w:val="Normal"/>
    <w:rsid w:val="007f2016"/>
    <w:pPr>
      <w:tabs>
        <w:tab w:val="clear" w:pos="708"/>
        <w:tab w:val="center" w:pos="4536" w:leader="none"/>
        <w:tab w:val="right" w:pos="9072" w:leader="none"/>
      </w:tabs>
    </w:pPr>
    <w:rPr/>
  </w:style>
  <w:style w:type="paragraph" w:styleId="NormalWeb">
    <w:name w:val="Normal (Web)"/>
    <w:basedOn w:val="Normal"/>
    <w:qFormat/>
    <w:rsid w:val="005c089d"/>
    <w:pPr>
      <w:spacing w:beforeAutospacing="1" w:afterAutospacing="1"/>
    </w:pPr>
    <w:rPr>
      <w:rFonts w:ascii="Times New Roman" w:hAnsi="Times New Roman"/>
      <w:lang w:val="en-US" w:eastAsia="en-US"/>
    </w:rPr>
  </w:style>
  <w:style w:type="paragraph" w:styleId="BalloonText">
    <w:name w:val="Balloon Text"/>
    <w:basedOn w:val="Normal"/>
    <w:link w:val="TekstbaloniaChar"/>
    <w:qFormat/>
    <w:rsid w:val="00ba5191"/>
    <w:pPr/>
    <w:rPr>
      <w:rFonts w:cs="Tahoma"/>
      <w:sz w:val="16"/>
      <w:szCs w:val="16"/>
    </w:rPr>
  </w:style>
  <w:style w:type="paragraph" w:styleId="ListParagraph">
    <w:name w:val="List Paragraph"/>
    <w:basedOn w:val="Normal"/>
    <w:uiPriority w:val="34"/>
    <w:qFormat/>
    <w:rsid w:val="00a40633"/>
    <w:pPr>
      <w:spacing w:before="0" w:after="0"/>
      <w:ind w:left="720" w:hanging="0"/>
      <w:contextualSpacing/>
    </w:pPr>
    <w:rPr/>
  </w:style>
  <w:style w:type="paragraph" w:styleId="FrameContents">
    <w:name w:val="Frame Contents"/>
    <w:basedOn w:val="Normal"/>
    <w:qFormat/>
    <w:pPr/>
    <w:rPr/>
  </w:style>
  <w:style w:type="numbering" w:styleId="NoList" w:default="1">
    <w:name w:val="No List"/>
    <w:uiPriority w:val="99"/>
    <w:semiHidden/>
    <w:unhideWhenUsed/>
    <w:qFormat/>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customXml" Target="../customXml/item2.xml"/>
</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2.xml><?xml version="1.0" encoding="utf-8"?>
<icms>
  <DomainObject.DatumDonosenjaOdluke>
    <izvorni_sadrzaj>27. ožujka 2017.</izvorni_sadrzaj>
    <derivirana_varijabla naziv="DomainObject.DatumDonosenjaOdluke_1">27.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P-3124/2014-28</izvorni_sadrzaj>
    <derivirana_varijabla naziv="DomainObject.Oznaka_1">P-3124/2014-28</derivirana_varijabla>
  </DomainObject.Oznaka>
  <DomainObject.DonositeljOdluke.Ime>
    <izvorni_sadrzaj>Majda</izvorni_sadrzaj>
    <derivirana_varijabla naziv="DomainObject.DonositeljOdluke.Ime_1">Majda</derivirana_varijabla>
  </DomainObject.DonositeljOdluke.Ime>
  <DomainObject.DonositeljOdluke.Prezime>
    <izvorni_sadrzaj>Felker</izvorni_sadrzaj>
    <derivirana_varijabla naziv="DomainObject.DonositeljOdluke.Prezime_1">Felker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3124</izvorni_sadrzaj>
    <derivirana_varijabla naziv="DomainObject.Predmet.Broj_1">3124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2014.</izvorni_sadrzaj>
    <derivirana_varijabla naziv="DomainObject.Predmet.DatumOsnivanja_1">31.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P-3124/2014</izvorni_sadrzaj>
    <derivirana_varijabla naziv="DomainObject.Predmet.OznakaBroj_1">P-3124/2014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ULJANIK Strojogradnja Diesel dioničko društvo</izvorni_sadrzaj>
    <derivirana_varijabla naziv="DomainObject.Predmet.ProtustrankaFormated_1">  ULJANIK Strojogradnja Diesel dioničko društvo</derivirana_varijabla>
  </DomainObject.Predmet.ProtustrankaFormated>
  <DomainObject.Predmet.ProtustrankaFormatedOIB>
    <izvorni_sadrzaj>  ULJANIK Strojogradnja Diesel dioničko društvo, OIB 35951488983</izvorni_sadrzaj>
    <derivirana_varijabla naziv="DomainObject.Predmet.ProtustrankaFormatedOIB_1">  ULJANIK Strojogradnja Diesel dioničko društvo, OIB 35951488983</derivirana_varijabla>
  </DomainObject.Predmet.ProtustrankaFormatedOIB>
  <DomainObject.Predmet.ProtustrankaFormatedWithAdress>
    <izvorni_sadrzaj> ULJANIK Strojogradnja Diesel dioničko društvo, Flaciusova 1, 52100 Pula</izvorni_sadrzaj>
    <derivirana_varijabla naziv="DomainObject.Predmet.ProtustrankaFormatedWithAdress_1"> ULJANIK Strojogradnja Diesel dioničko društvo, Flaciusova 1, 52100 Pula</derivirana_varijabla>
  </DomainObject.Predmet.ProtustrankaFormatedWithAdress>
  <DomainObject.Predmet.ProtustrankaFormatedWithAdressOIB>
    <izvorni_sadrzaj> ULJANIK Strojogradnja Diesel dioničko društvo, OIB 35951488983, Flaciusova 1, 52100 Pula</izvorni_sadrzaj>
    <derivirana_varijabla naziv="DomainObject.Predmet.ProtustrankaFormatedWithAdressOIB_1"> ULJANIK Strojogradnja Diesel dioničko društvo, OIB 35951488983, Flaciusova 1, 52100 Pula</derivirana_varijabla>
  </DomainObject.Predmet.ProtustrankaFormatedWithAdressOIB>
  <DomainObject.Predmet.ProtustrankaWithAdress>
    <izvorni_sadrzaj>ULJANIK Strojogradnja Diesel dioničko društvo Flaciusova 1, 52100 Pula</izvorni_sadrzaj>
    <derivirana_varijabla naziv="DomainObject.Predmet.ProtustrankaWithAdress_1">ULJANIK Strojogradnja Diesel dioničko društvo Flaciusova 1, 52100 Pula</derivirana_varijabla>
  </DomainObject.Predmet.ProtustrankaWithAdress>
  <DomainObject.Predmet.ProtustrankaWithAdressOIB>
    <izvorni_sadrzaj>ULJANIK Strojogradnja Diesel dioničko društvo, OIB 35951488983, Flaciusova 1, 52100 Pula</izvorni_sadrzaj>
    <derivirana_varijabla naziv="DomainObject.Predmet.ProtustrankaWithAdressOIB_1">ULJANIK Strojogradnja Diesel dioničko društvo, OIB 35951488983, Flaciusova 1, 52100 Pula</derivirana_varijabla>
  </DomainObject.Predmet.ProtustrankaWithAdressOIB>
  <DomainObject.Predmet.ProtustrankaNazivFormated>
    <izvorni_sadrzaj>ULJANIK Strojogradnja Diesel dioničko društvo</izvorni_sadrzaj>
    <derivirana_varijabla naziv="DomainObject.Predmet.ProtustrankaNazivFormated_1">ULJANIK Strojogradnja Diesel dioničko društvo</derivirana_varijabla>
  </DomainObject.Predmet.ProtustrankaNazivFormated>
  <DomainObject.Predmet.ProtustrankaNazivFormatedOIB>
    <izvorni_sadrzaj>ULJANIK Strojogradnja Diesel dioničko društvo, OIB 35951488983</izvorni_sadrzaj>
    <derivirana_varijabla naziv="DomainObject.Predmet.ProtustrankaNazivFormatedOIB_1">ULJANIK Strojogradnja Diesel dioničko društvo, OIB 35951488983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31</izvorni_sadrzaj>
    <derivirana_varijabla naziv="DomainObject.Predmet.Referada.Naziv_1">Referada 31</derivirana_varijabla>
  </DomainObject.Predmet.Referada.Naziv>
  <DomainObject.Predmet.Referada.Oznaka>
    <izvorni_sadrzaj>31</izvorni_sadrzaj>
    <derivirana_varijabla naziv="DomainObject.Predmet.Referada.Oznaka_1">31</derivirana_varijabla>
  </DomainObject.Predmet.Referada.Oznaka>
  <DomainObject.Predmet.Referada.Prostorija.Naziv>
    <izvorni_sadrzaj>soba 4/IV</izvorni_sadrzaj>
    <derivirana_varijabla naziv="DomainObject.Predmet.Referada.Prostorija.Naziv_1">soba 4/IV</derivirana_varijabla>
  </DomainObject.Predmet.Referada.Prostorija.Naziv>
  <DomainObject.Predmet.Referada.Prostorija.Oznaka>
    <izvorni_sadrzaj>soba 4/IV</izvorni_sadrzaj>
    <derivirana_varijabla naziv="DomainObject.Predmet.Referada.Prostorija.Oznaka_1">soba 4/IV</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Majda Felker</izvorni_sadrzaj>
    <derivirana_varijabla naziv="DomainObject.Predmet.Referada.Sudac_1">Majda Felker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Ibrahim Murić zastupanog po punomoćniku Sonja Bonifačić; Ibrahim Murić</izvorni_sadrzaj>
    <derivirana_varijabla naziv="DomainObject.Predmet.StrankaFormated_1">  Ibrahim Murić zastupanog po punomoćniku Sonja Bonifačić; Ibrahim Murić</derivirana_varijabla>
  </DomainObject.Predmet.StrankaFormated>
  <DomainObject.Predmet.StrankaFormatedOIB>
    <izvorni_sadrzaj>  Ibrahim Murić, OIB 28052164704 zastupanog po punomoćniku Sonja Bonifačić; Ibrahim Murić, OIB 28052164704</izvorni_sadrzaj>
    <derivirana_varijabla naziv="DomainObject.Predmet.StrankaFormatedOIB_1">  Ibrahim Murić, OIB 28052164704 zastupanog po punomoćniku Sonja Bonifačić; Ibrahim Murić, OIB 28052164704</derivirana_varijabla>
  </DomainObject.Predmet.StrankaFormatedOIB>
  <DomainObject.Predmet.StrankaFormatedWithAdress>
    <izvorni_sadrzaj> Ibrahim Murić, Franje Čandeka 36, 51000 Rijeka zastupanog po punomoćniku Sonja Bonifačić; Ibrahim Murić, Franje Čandeka 36, 51000 Rijeka</izvorni_sadrzaj>
    <derivirana_varijabla naziv="DomainObject.Predmet.StrankaFormatedWithAdress_1"> Ibrahim Murić, Franje Čandeka 36, 51000 Rijeka zastupanog po punomoćniku Sonja Bonifačić; Ibrahim Murić, Franje Čandeka 36, 51000 Rijeka</derivirana_varijabla>
  </DomainObject.Predmet.StrankaFormatedWithAdress>
  <DomainObject.Predmet.StrankaFormatedWithAdressOIB>
    <izvorni_sadrzaj> Ibrahim Murić, OIB 28052164704, Franje Čandeka 36, 51000 Rijeka zastupanog po punomoćniku Sonja Bonifačić; Ibrahim Murić, OIB 28052164704, Franje Čandeka 36, 51000 Rijeka</izvorni_sadrzaj>
    <derivirana_varijabla naziv="DomainObject.Predmet.StrankaFormatedWithAdressOIB_1"> Ibrahim Murić, OIB 28052164704, Franje Čandeka 36, 51000 Rijeka zastupanog po punomoćniku Sonja Bonifačić; Ibrahim Murić, OIB 28052164704, Franje Čandeka 36, 51000 Rijeka</derivirana_varijabla>
  </DomainObject.Predmet.StrankaFormatedWithAdressOIB>
  <DomainObject.Predmet.StrankaWithAdress>
    <izvorni_sadrzaj>Ibrahim Murić Franje Čandeka 36,51000 Rijeka,Ibrahim Murić Franje Čandeka 36,51000 Rijeka</izvorni_sadrzaj>
    <derivirana_varijabla naziv="DomainObject.Predmet.StrankaWithAdress_1">Ibrahim Murić Franje Čandeka 36,51000 Rijeka,Ibrahim Murić Franje Čandeka 36,51000 Rijeka</derivirana_varijabla>
  </DomainObject.Predmet.StrankaWithAdress>
  <DomainObject.Predmet.StrankaWithAdressOIB>
    <izvorni_sadrzaj>Ibrahim Murić, OIB 28052164704, Franje Čandeka 36,51000 Rijeka,Ibrahim Murić, OIB 28052164704, Franje Čandeka 36,51000 Rijeka</izvorni_sadrzaj>
    <derivirana_varijabla naziv="DomainObject.Predmet.StrankaWithAdressOIB_1">Ibrahim Murić, OIB 28052164704, Franje Čandeka 36,51000 Rijeka,Ibrahim Murić, OIB 28052164704, Franje Čandeka 36,51000 Rijeka</derivirana_varijabla>
  </DomainObject.Predmet.StrankaWithAdressOIB>
  <DomainObject.Predmet.StrankaNazivFormated>
    <izvorni_sadrzaj>Ibrahim Murić,Ibrahim Murić</izvorni_sadrzaj>
    <derivirana_varijabla naziv="DomainObject.Predmet.StrankaNazivFormated_1">Ibrahim Murić,Ibrahim Murić</derivirana_varijabla>
  </DomainObject.Predmet.StrankaNazivFormated>
  <DomainObject.Predmet.StrankaNazivFormatedOIB>
    <izvorni_sadrzaj>Ibrahim Murić, OIB 28052164704,Ibrahim Murić, OIB 28052164704</izvorni_sadrzaj>
    <derivirana_varijabla naziv="DomainObject.Predmet.StrankaNazivFormatedOIB_1">Ibrahim Murić, OIB 28052164704,Ibrahim Murić, OIB 28052164704</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Žrtava fašizma 7</izvorni_sadrzaj>
    <derivirana_varijabla naziv="DomainObject.Predmet.Sud.Adresa.UlicaIKBR_1">Žrtava fašizma 7</derivirana_varijabla>
  </DomainObject.Predmet.Sud.Adresa.UlicaIKBR>
  <DomainObject.Predmet.Sud.Naziv>
    <izvorni_sadrzaj>Općinski sud u Rijeci</izvorni_sadrzaj>
    <derivirana_varijabla naziv="DomainObject.Predmet.Sud.Naziv_1">Općinski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31</izvorni_sadrzaj>
    <derivirana_varijabla naziv="DomainObject.Predmet.TrenutnaLokacijaSpisa.Naziv_1">Referada 31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izvorni_sadrzaj>
    <derivirana_varijabla naziv="DomainObject.Predmet.UstrojstvenaJedinicaVodi.Naziv_1">Parnična pisarnica</derivirana_varijabla>
  </DomainObject.Predmet.UstrojstvenaJedinicaVodi.Naziv>
  <DomainObject.Predmet.UstrojstvenaJedinicaVodi.Oznaka>
    <izvorni_sadrzaj>sp-pp</izvorni_sadrzaj>
    <derivirana_varijabla naziv="DomainObject.Predmet.UstrojstvenaJedinicaVodi.Oznaka_1">sp-pp</derivirana_varijabla>
  </DomainObject.Predmet.UstrojstvenaJedinicaVodi.Oznaka>
  <DomainObject.Predmet.UstrojstvenaJedinicaVodi.Prostorija.Naziv>
    <izvorni_sadrzaj>soba 14/III</izvorni_sadrzaj>
    <derivirana_varijabla naziv="DomainObject.Predmet.UstrojstvenaJedinicaVodi.Prostorija.Naziv_1">soba 14/III</derivirana_varijabla>
  </DomainObject.Predmet.UstrojstvenaJedinicaVodi.Prostorija.Naziv>
  <DomainObject.Predmet.UstrojstvenaJedinicaVodi.Prostorija.Oznaka>
    <izvorni_sadrzaj>soba 14/III</izvorni_sadrzaj>
    <derivirana_varijabla naziv="DomainObject.Predmet.UstrojstvenaJedinicaVodi.Prostorija.Oznaka_1">soba 14/III</derivirana_varijabla>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Radno - (prestanak, otkaz, utvrđenje radnog odnosa)</izvorni_sadrzaj>
    <derivirana_varijabla naziv="DomainObject.Predmet.VrstaSpora.Naziv_1">Radno - (prestanak, otkaz, utvrđenje radnog odnosa)</derivirana_varijabla>
  </DomainObject.Predmet.VrstaSpora.Naziv>
  <DomainObject.Predmet.Zapisnicar>
    <izvorni_sadrzaj>Danijela Čepek-Svetec</izvorni_sadrzaj>
    <derivirana_varijabla naziv="DomainObject.Predmet.Zapisnicar_1">Danijela Čepek-Svetec</derivirana_varijabla>
  </DomainObject.Predmet.Zapisnicar>
  <DomainObject.Predmet.StrankaListFormated>
    <izvorni_sadrzaj>
      <item>Ibrahim Murić zastupanog po punomoćniku Sonja Bonifačić</item>
      <item>Ibrahim Murić</item>
    </izvorni_sadrzaj>
    <derivirana_varijabla naziv="DomainObject.Predmet.StrankaListFormated_1">
      <item>Ibrahim Murić zastupanog po punomoćniku Sonja Bonifačić</item>
      <item>Ibrahim Murić</item>
    </derivirana_varijabla>
  </DomainObject.Predmet.StrankaListFormated>
  <DomainObject.Predmet.StrankaListFormatedOIB>
    <izvorni_sadrzaj>
      <item>Ibrahim Murić, OIB 28052164704 zastupanog po punomoćniku Sonja Bonifačić</item>
      <item>Ibrahim Murić, OIB 28052164704</item>
    </izvorni_sadrzaj>
    <derivirana_varijabla naziv="DomainObject.Predmet.StrankaListFormatedOIB_1">
      <item>Ibrahim Murić, OIB 28052164704 zastupanog po punomoćniku Sonja Bonifačić</item>
      <item>Ibrahim Murić, OIB 28052164704</item>
    </derivirana_varijabla>
  </DomainObject.Predmet.StrankaListFormatedOIB>
  <DomainObject.Predmet.StrankaListFormatedWithAdress>
    <izvorni_sadrzaj>
      <item>Ibrahim Murić, Franje Čandeka 36, 51000 Rijeka zastupanog po punomoćniku Sonja Bonifačić</item>
      <item>Ibrahim Murić, Franje Čandeka 36, 51000 Rijeka</item>
    </izvorni_sadrzaj>
    <derivirana_varijabla naziv="DomainObject.Predmet.StrankaListFormatedWithAdress_1">
      <item>Ibrahim Murić, Franje Čandeka 36, 51000 Rijeka zastupanog po punomoćniku Sonja Bonifačić</item>
      <item>Ibrahim Murić, Franje Čandeka 36, 51000 Rijeka</item>
    </derivirana_varijabla>
  </DomainObject.Predmet.StrankaListFormatedWithAdress>
  <DomainObject.Predmet.StrankaListFormatedWithAdressOIB>
    <izvorni_sadrzaj>
      <item>Ibrahim Murić, OIB 28052164704, Franje Čandeka 36, 51000 Rijeka zastupanog po punomoćniku Sonja Bonifačić</item>
      <item>Ibrahim Murić, OIB 28052164704, Franje Čandeka 36, 51000 Rijeka</item>
    </izvorni_sadrzaj>
    <derivirana_varijabla naziv="DomainObject.Predmet.StrankaListFormatedWithAdressOIB_1">
      <item>Ibrahim Murić, OIB 28052164704, Franje Čandeka 36, 51000 Rijeka zastupanog po punomoćniku Sonja Bonifačić</item>
      <item>Ibrahim Murić, OIB 28052164704, Franje Čandeka 36, 51000 Rijeka</item>
    </derivirana_varijabla>
  </DomainObject.Predmet.StrankaListFormatedWithAdressOIB>
  <DomainObject.Predmet.StrankaListNazivFormated>
    <izvorni_sadrzaj>
      <item>Ibrahim Murić</item>
      <item>Ibrahim Murić</item>
    </izvorni_sadrzaj>
    <derivirana_varijabla naziv="DomainObject.Predmet.StrankaListNazivFormated_1">
      <item>Ibrahim Murić</item>
      <item>Ibrahim Murić</item>
    </derivirana_varijabla>
  </DomainObject.Predmet.StrankaListNazivFormated>
  <DomainObject.Predmet.StrankaListNazivFormatedOIB>
    <izvorni_sadrzaj>
      <item>Ibrahim Murić, OIB 28052164704</item>
      <item>Ibrahim Murić, OIB 28052164704</item>
    </izvorni_sadrzaj>
    <derivirana_varijabla naziv="DomainObject.Predmet.StrankaListNazivFormatedOIB_1">
      <item>Ibrahim Murić, OIB 28052164704</item>
      <item>Ibrahim Murić, OIB 28052164704</item>
    </derivirana_varijabla>
  </DomainObject.Predmet.StrankaListNazivFormatedOIB>
  <DomainObject.Predmet.ProtuStrankaListFormated>
    <izvorni_sadrzaj>
      <item>ULJANIK Strojogradnja Diesel dioničko društvo</item>
    </izvorni_sadrzaj>
    <derivirana_varijabla naziv="DomainObject.Predmet.ProtuStrankaListFormated_1">
      <item>ULJANIK Strojogradnja Diesel dioničko društvo</item>
    </derivirana_varijabla>
  </DomainObject.Predmet.ProtuStrankaListFormated>
  <DomainObject.Predmet.ProtuStrankaListFormatedOIB>
    <izvorni_sadrzaj>
      <item>ULJANIK Strojogradnja Diesel dioničko društvo, OIB 35951488983</item>
    </izvorni_sadrzaj>
    <derivirana_varijabla naziv="DomainObject.Predmet.ProtuStrankaListFormatedOIB_1">
      <item>ULJANIK Strojogradnja Diesel dioničko društvo, OIB 35951488983</item>
    </derivirana_varijabla>
  </DomainObject.Predmet.ProtuStrankaListFormatedOIB>
  <DomainObject.Predmet.ProtuStrankaListFormatedWithAdress>
    <izvorni_sadrzaj>
      <item>ULJANIK Strojogradnja Diesel dioničko društvo, Flaciusova 1, 52100 Pula</item>
    </izvorni_sadrzaj>
    <derivirana_varijabla naziv="DomainObject.Predmet.ProtuStrankaListFormatedWithAdress_1">
      <item>ULJANIK Strojogradnja Diesel dioničko društvo, Flaciusova 1, 52100 Pula</item>
    </derivirana_varijabla>
  </DomainObject.Predmet.ProtuStrankaListFormatedWithAdress>
  <DomainObject.Predmet.ProtuStrankaListFormatedWithAdressOIB>
    <izvorni_sadrzaj>
      <item>ULJANIK Strojogradnja Diesel dioničko društvo, OIB 35951488983, Flaciusova 1, 52100 Pula</item>
    </izvorni_sadrzaj>
    <derivirana_varijabla naziv="DomainObject.Predmet.ProtuStrankaListFormatedWithAdressOIB_1">
      <item>ULJANIK Strojogradnja Diesel dioničko društvo, OIB 35951488983, Flaciusova 1, 52100 Pula</item>
    </derivirana_varijabla>
  </DomainObject.Predmet.ProtuStrankaListFormatedWithAdressOIB>
  <DomainObject.Predmet.ProtuStrankaListNazivFormated>
    <izvorni_sadrzaj>
      <item>ULJANIK Strojogradnja Diesel dioničko društvo</item>
    </izvorni_sadrzaj>
    <derivirana_varijabla naziv="DomainObject.Predmet.ProtuStrankaListNazivFormated_1">
      <item>ULJANIK Strojogradnja Diesel dioničko društvo</item>
    </derivirana_varijabla>
  </DomainObject.Predmet.ProtuStrankaListNazivFormated>
  <DomainObject.Predmet.ProtuStrankaListNazivFormatedOIB>
    <izvorni_sadrzaj>
      <item>ULJANIK Strojogradnja Diesel dioničko društvo, OIB 35951488983</item>
    </izvorni_sadrzaj>
    <derivirana_varijabla naziv="DomainObject.Predmet.ProtuStrankaListNazivFormatedOIB_1">
      <item>ULJANIK Strojogradnja Diesel dioničko društvo, OIB 35951488983</item>
    </derivirana_varijabla>
  </DomainObject.Predmet.ProtuStrankaListNazivFormatedOIB>
  <DomainObject.Predmet.OstaliListFormated>
    <izvorni_sadrzaj>
      <item>Sonja Bonifačić punomoćnik sudionika u postupku Ibrahim Murić</item>
      <item>odvj. dr.sc. Ana Holjar</item>
      <item>odvj. Sonja Bonifačić</item>
      <item>Kristijan Cvjetović</item>
      <item>Gradimir Šain</item>
      <item>Ružica Ožbolt (putem tuženika)</item>
      <item>Bosiljka Zlojutro</item>
      <item>Mika Lamešić</item>
      <item>Vedran Sabljak</item>
      <item>Gordan Senić</item>
    </izvorni_sadrzaj>
    <derivirana_varijabla naziv="DomainObject.Predmet.OstaliListFormated_1">
      <item>Sonja Bonifačić punomoćnik sudionika u postupku Ibrahim Murić</item>
      <item>odvj. dr.sc. Ana Holjar</item>
      <item>odvj. Sonja Bonifačić</item>
      <item>Kristijan Cvjetović</item>
      <item>Gradimir Šain</item>
      <item>Ružica Ožbolt (putem tuženika)</item>
      <item>Bosiljka Zlojutro</item>
      <item>Mika Lamešić</item>
      <item>Vedran Sabljak</item>
      <item>Gordan Senić</item>
    </derivirana_varijabla>
  </DomainObject.Predmet.OstaliListFormated>
  <DomainObject.Predmet.OstaliListFormatedOIB>
    <izvorni_sadrzaj>
      <item>Sonja Bonifačić punomoćnik sudionika u postupku Ibrahim Murić</item>
      <item>odvj. dr.sc. Ana Holjar</item>
      <item>odvj. Sonja Bonifačić</item>
      <item>Kristijan Cvjetović</item>
      <item>Gradimir Šain</item>
      <item>Ružica Ožbolt (putem tuženika)</item>
      <item>Bosiljka Zlojutro</item>
      <item>Mika Lamešić</item>
      <item>Vedran Sabljak</item>
      <item>Gordan Senić</item>
    </izvorni_sadrzaj>
    <derivirana_varijabla naziv="DomainObject.Predmet.OstaliListFormatedOIB_1">
      <item>Sonja Bonifačić punomoćnik sudionika u postupku Ibrahim Murić</item>
      <item>odvj. dr.sc. Ana Holjar</item>
      <item>odvj. Sonja Bonifačić</item>
      <item>Kristijan Cvjetović</item>
      <item>Gradimir Šain</item>
      <item>Ružica Ožbolt (putem tuženika)</item>
      <item>Bosiljka Zlojutro</item>
      <item>Mika Lamešić</item>
      <item>Vedran Sabljak</item>
      <item>Gordan Senić</item>
    </derivirana_varijabla>
  </DomainObject.Predmet.OstaliListFormatedOIB>
  <DomainObject.Predmet.OstaliListFormatedWithAdress>
    <izvorni_sadrzaj>
      <item>Sonja Bonifačić, Veslarska 3, 51000 Rijeka punomoćnik sudionika u postupku Ibrahim Murić</item>
      <item>odvj. dr.sc. Ana Holjar, Korzo 4, 51000 Rijeka</item>
      <item>odvj. Sonja Bonifačić, Veslarska 3, 51000 Rijeka</item>
      <item>Kristijan Cvjetović</item>
      <item>Gradimir Šain</item>
      <item>Ružica Ožbolt (putem tuženika)</item>
      <item>Bosiljka Zlojutro</item>
      <item>Mika Lamešić</item>
      <item>Vedran Sabljak</item>
      <item>Gordan Senić, Ćićarijska 10, 51000 Rijeka</item>
    </izvorni_sadrzaj>
    <derivirana_varijabla naziv="DomainObject.Predmet.OstaliListFormatedWithAdress_1">
      <item>Sonja Bonifačić, Veslarska 3, 51000 Rijeka punomoćnik sudionika u postupku Ibrahim Murić</item>
      <item>odvj. dr.sc. Ana Holjar, Korzo 4, 51000 Rijeka</item>
      <item>odvj. Sonja Bonifačić, Veslarska 3, 51000 Rijeka</item>
      <item>Kristijan Cvjetović</item>
      <item>Gradimir Šain</item>
      <item>Ružica Ožbolt (putem tuženika)</item>
      <item>Bosiljka Zlojutro</item>
      <item>Mika Lamešić</item>
      <item>Vedran Sabljak</item>
      <item>Gordan Senić, Ćićarijska 10, 51000 Rijeka</item>
    </derivirana_varijabla>
  </DomainObject.Predmet.OstaliListFormatedWithAdress>
  <DomainObject.Predmet.OstaliListFormatedWithAdressOIB>
    <izvorni_sadrzaj>
      <item>Sonja Bonifačić, Veslarska 3, 51000 Rijeka punomoćnik sudionika u postupku Ibrahim Murić</item>
      <item>odvj. dr.sc. Ana Holjar, Korzo 4, 51000 Rijeka</item>
      <item>odvj. Sonja Bonifačić, Veslarska 3, 51000 Rijeka</item>
      <item>Kristijan Cvjetović</item>
      <item>Gradimir Šain</item>
      <item>Ružica Ožbolt (putem tuženika)</item>
      <item>Bosiljka Zlojutro</item>
      <item>Mika Lamešić</item>
      <item>Vedran Sabljak</item>
      <item>Gordan Senić, Ćićarijska 10, 51000 Rijeka</item>
    </izvorni_sadrzaj>
    <derivirana_varijabla naziv="DomainObject.Predmet.OstaliListFormatedWithAdressOIB_1">
      <item>Sonja Bonifačić, Veslarska 3, 51000 Rijeka punomoćnik sudionika u postupku Ibrahim Murić</item>
      <item>odvj. dr.sc. Ana Holjar, Korzo 4, 51000 Rijeka</item>
      <item>odvj. Sonja Bonifačić, Veslarska 3, 51000 Rijeka</item>
      <item>Kristijan Cvjetović</item>
      <item>Gradimir Šain</item>
      <item>Ružica Ožbolt (putem tuženika)</item>
      <item>Bosiljka Zlojutro</item>
      <item>Mika Lamešić</item>
      <item>Vedran Sabljak</item>
      <item>Gordan Senić, Ćićarijska 10, 51000 Rijeka</item>
    </derivirana_varijabla>
  </DomainObject.Predmet.OstaliListFormatedWithAdressOIB>
  <DomainObject.Predmet.OstaliListNazivFormated>
    <izvorni_sadrzaj>
      <item>Sonja Bonifačić</item>
      <item>odvj. dr.sc. Ana Holjar</item>
      <item>odvj. Sonja Bonifačić</item>
      <item>Kristijan Cvjetović</item>
      <item>Gradimir Šain</item>
      <item>Ružica Ožbolt (putem tuženika)</item>
      <item>Bosiljka Zlojutro</item>
      <item>Mika Lamešić</item>
      <item>Vedran Sabljak</item>
      <item>Gordan Senić</item>
    </izvorni_sadrzaj>
    <derivirana_varijabla naziv="DomainObject.Predmet.OstaliListNazivFormated_1">
      <item>Sonja Bonifačić</item>
      <item>odvj. dr.sc. Ana Holjar</item>
      <item>odvj. Sonja Bonifačić</item>
      <item>Kristijan Cvjetović</item>
      <item>Gradimir Šain</item>
      <item>Ružica Ožbolt (putem tuženika)</item>
      <item>Bosiljka Zlojutro</item>
      <item>Mika Lamešić</item>
      <item>Vedran Sabljak</item>
      <item>Gordan Senić</item>
    </derivirana_varijabla>
  </DomainObject.Predmet.OstaliListNazivFormated>
  <DomainObject.Predmet.OstaliListNazivFormatedOIB>
    <izvorni_sadrzaj>
      <item>Sonja Bonifačić</item>
      <item>odvj. dr.sc. Ana Holjar</item>
      <item>odvj. Sonja Bonifačić</item>
      <item>Kristijan Cvjetović</item>
      <item>Gradimir Šain</item>
      <item>Ružica Ožbolt (putem tuženika)</item>
      <item>Bosiljka Zlojutro</item>
      <item>Mika Lamešić</item>
      <item>Vedran Sabljak</item>
      <item>Gordan Senić</item>
    </izvorni_sadrzaj>
    <derivirana_varijabla naziv="DomainObject.Predmet.OstaliListNazivFormatedOIB_1">
      <item>Sonja Bonifačić</item>
      <item>odvj. dr.sc. Ana Holjar</item>
      <item>odvj. Sonja Bonifačić</item>
      <item>Kristijan Cvjetović</item>
      <item>Gradimir Šain</item>
      <item>Ružica Ožbolt (putem tuženika)</item>
      <item>Bosiljka Zlojutro</item>
      <item>Mika Lamešić</item>
      <item>Vedran Sabljak</item>
      <item>Gordan Senić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27. ožujka 2017.</izvorni_sadrzaj>
    <derivirana_varijabla naziv="DomainObject.Datum_1">27. ožujka 2017.</derivirana_varijabla>
  </DomainObject.Datum>
  <DomainObject.PoslovniBrojDokumenta>
    <izvorni_sadrzaj>P-3124/2014-28</izvorni_sadrzaj>
    <derivirana_varijabla naziv="DomainObject.PoslovniBrojDokumenta_1">P-3124/2014-28</derivirana_varijabla>
  </DomainObject.PoslovniBrojDokumenta>
  <DomainObject.Predmet.StrankaIDrugi>
    <izvorni_sadrzaj>Ibrahim Murić i dr.</izvorni_sadrzaj>
    <derivirana_varijabla naziv="DomainObject.Predmet.StrankaIDrugi_1">Ibrahim Murić i dr.</derivirana_varijabla>
  </DomainObject.Predmet.StrankaIDrugi>
  <DomainObject.Predmet.ProtustrankaIDrugi>
    <izvorni_sadrzaj>ULJANIK Strojogradnja Diesel dioničko društvo</izvorni_sadrzaj>
    <derivirana_varijabla naziv="DomainObject.Predmet.ProtustrankaIDrugi_1">ULJANIK Strojogradnja Diesel dioničko društvo</derivirana_varijabla>
  </DomainObject.Predmet.ProtustrankaIDrugi>
  <DomainObject.Predmet.StrankaIDrugiAdressOIB>
    <izvorni_sadrzaj>Ibrahim Murić, OIB 28052164704, Franje Čandeka 36, 51000 Rijeka i dr.</izvorni_sadrzaj>
    <derivirana_varijabla naziv="DomainObject.Predmet.StrankaIDrugiAdressOIB_1">Ibrahim Murić, OIB 28052164704, Franje Čandeka 36, 51000 Rijeka i dr.</derivirana_varijabla>
  </DomainObject.Predmet.StrankaIDrugiAdressOIB>
  <DomainObject.Predmet.ProtustrankaIDrugiAdressOIB>
    <izvorni_sadrzaj>ULJANIK Strojogradnja Diesel dioničko društvo, OIB 35951488983, Flaciusova 1, 52100 Pula</izvorni_sadrzaj>
    <derivirana_varijabla naziv="DomainObject.Predmet.ProtustrankaIDrugiAdressOIB_1">ULJANIK Strojogradnja Diesel dioničko društvo, OIB 35951488983, Flaciusova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Ibrahim Murić</item>
      <item>Sonja Bonifačić</item>
      <item>ULJANIK Strojogradnja Diesel dioničko društvo</item>
      <item>odvj. dr.sc. Ana Holjar</item>
      <item>odvj. Sonja Bonifačić</item>
      <item>Ibrahim Murić</item>
      <item>Kristijan Cvjetović</item>
      <item>Gradimir Šain</item>
      <item>Ružica Ožbolt (putem tuženika)</item>
      <item>Bosiljka Zlojutro</item>
      <item>Mika Lamešić</item>
      <item>Vedran Sabljak</item>
      <item>Gordan Senić</item>
    </izvorni_sadrzaj>
    <derivirana_varijabla naziv="DomainObject.Predmet.SudioniciListNaziv_1">
      <item>Ibrahim Murić</item>
      <item>Sonja Bonifačić</item>
      <item>ULJANIK Strojogradnja Diesel dioničko društvo</item>
      <item>odvj. dr.sc. Ana Holjar</item>
      <item>odvj. Sonja Bonifačić</item>
      <item>Ibrahim Murić</item>
      <item>Kristijan Cvjetović</item>
      <item>Gradimir Šain</item>
      <item>Ružica Ožbolt (putem tuženika)</item>
      <item>Bosiljka Zlojutro</item>
      <item>Mika Lamešić</item>
      <item>Vedran Sabljak</item>
      <item>Gordan Senić</item>
    </derivirana_varijabla>
  </DomainObject.Predmet.SudioniciListNaziv>
  <DomainObject.Predmet.SudioniciListAdressOIB>
    <izvorni_sadrzaj>
      <item>Ibrahim Murić, OIB 28052164704, Franje Čandeka 36,51000 Rijeka</item>
      <item>Sonja Bonifačić, Veslarska 3,51000 Rijeka</item>
      <item>ULJANIK Strojogradnja Diesel dioničko društvo, OIB 35951488983, Flaciusova 1,52100 Pula</item>
      <item>odvj. dr.sc. Ana Holjar, Korzo 4,51000 Rijeka</item>
      <item>odvj. Sonja Bonifačić, Veslarska 3,51000 Rijeka</item>
      <item>Ibrahim Murić, OIB 28052164704, Franje Čandeka 36,51000 Rijeka</item>
      <item>Kristijan Cvjetović</item>
      <item>Gradimir Šain</item>
      <item>Ružica Ožbolt (putem tuženika)</item>
      <item>Bosiljka Zlojutro</item>
      <item>Mika Lamešić</item>
      <item>Vedran Sabljak</item>
      <item>Gordan Senić, Ćićarijska 10,51000 Rijeka</item>
    </izvorni_sadrzaj>
    <derivirana_varijabla naziv="DomainObject.Predmet.SudioniciListAdressOIB_1">
      <item>Ibrahim Murić, OIB 28052164704, Franje Čandeka 36,51000 Rijeka</item>
      <item>Sonja Bonifačić, Veslarska 3,51000 Rijeka</item>
      <item>ULJANIK Strojogradnja Diesel dioničko društvo, OIB 35951488983, Flaciusova 1,52100 Pula</item>
      <item>odvj. dr.sc. Ana Holjar, Korzo 4,51000 Rijeka</item>
      <item>odvj. Sonja Bonifačić, Veslarska 3,51000 Rijeka</item>
      <item>Ibrahim Murić, OIB 28052164704, Franje Čandeka 36,51000 Rijeka</item>
      <item>Kristijan Cvjetović</item>
      <item>Gradimir Šain</item>
      <item>Ružica Ožbolt (putem tuženika)</item>
      <item>Bosiljka Zlojutro</item>
      <item>Mika Lamešić</item>
      <item>Vedran Sabljak</item>
      <item>Gordan Senić, Ćićarijska 10,51000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28052164704</item>
      <item>, OIB null</item>
      <item>, OIB 35951488983</item>
      <item>, OIB null</item>
      <item>, OIB null</item>
      <item>, OIB 28052164704</item>
      <item>, OIB null</item>
      <item>, OIB null</item>
      <item>, OIB null</item>
      <item>, OIB null</item>
      <item>, OIB null</item>
      <item>, OIB null</item>
      <item>, OIB null</item>
    </izvorni_sadrzaj>
    <derivirana_varijabla naziv="DomainObject.Predmet.SudioniciListNazivOIB_1">
      <item>, OIB 28052164704</item>
      <item>, OIB null</item>
      <item>, OIB 35951488983</item>
      <item>, OIB null</item>
      <item>, OIB null</item>
      <item>, OIB 28052164704</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6BAB838E-B345-4B41-A75E-44749CA25F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 xmlns="http://schemas.openxmlformats.org/officeDocument/2006/extended-properties" xmlns:vt="http://schemas.openxmlformats.org/officeDocument/2006/docPropsVTypes">
  <Template>MasterTemplate</Template>
  <TotalTime>212</TotalTime>
  <Application>LibreOffice/6.2.3.2$Windows_x86 LibreOffice_project/aecc05fe267cc68dde00352a451aa867b3b546ac</Application>
  <Pages>10</Pages>
  <Words>9223</Words>
  <Characters>48496</Characters>
  <CharactersWithSpaces>57916</CharactersWithSpaces>
  <Paragraphs>100</Paragraphs>
  <Company>RH-TDU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2017-03-27T05:34:00Z</dcterms:created>
  <dc:creator>MELISANDA</dc:creator>
  <dc:description/>
  <dc:language>hr-HR</dc:language>
  <cp:lastModifiedBy>Danijela Čepek Svetec</cp:lastModifiedBy>
  <cp:lastPrinted>2017-03-27T12:21:00Z</cp:lastPrinted>
  <dcterms:modified xsi:type="dcterms:W3CDTF">2017-03-27T12:30:00Z</dcterms:modified>
  <cp:revision>38</cp:revision>
  <dc:subject/>
  <dc:title>Posl</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BrojStranica">
    <vt:i4>16</vt:i4>
  </property>
  <property fmtid="{D5CDD505-2E9C-101B-9397-08002B2CF9AE}" pid="4" name="CC_coloring">
    <vt:bool>1</vt:bool>
  </property>
  <property fmtid="{D5CDD505-2E9C-101B-9397-08002B2CF9AE}" pid="5" name="Company">
    <vt:lpwstr>RH-TDU</vt:lpwstr>
  </property>
  <property fmtid="{D5CDD505-2E9C-101B-9397-08002B2CF9AE}" pid="6" name="DocSecurity">
    <vt:i4>0</vt:i4>
  </property>
  <property fmtid="{D5CDD505-2E9C-101B-9397-08002B2CF9AE}" pid="7" name="HyperlinksChanged">
    <vt:bool>0</vt:bool>
  </property>
  <property fmtid="{D5CDD505-2E9C-101B-9397-08002B2CF9AE}" pid="8" name="LinksUpToDate">
    <vt:bool>0</vt:bool>
  </property>
  <property fmtid="{D5CDD505-2E9C-101B-9397-08002B2CF9AE}" pid="9" name="Naslov">
    <vt:lpwstr>P-3124/2014-28 / Odluka - Presuda</vt:lpwstr>
  </property>
  <property fmtid="{D5CDD505-2E9C-101B-9397-08002B2CF9AE}" pid="10" name="Saved">
    <vt:bool>1</vt:bool>
  </property>
  <property fmtid="{D5CDD505-2E9C-101B-9397-08002B2CF9AE}" pid="11" name="ScaleCrop">
    <vt:bool>0</vt:bool>
  </property>
  <property fmtid="{D5CDD505-2E9C-101B-9397-08002B2CF9AE}" pid="12" name="ShareDoc">
    <vt:bool>0</vt:bool>
  </property>
</Properties>
</file>